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60DBCF71" w:rsidR="0055176A" w:rsidRPr="00A268EA" w:rsidRDefault="00DE28D5" w:rsidP="0055176A">
      <w:pPr>
        <w:pStyle w:val="Header"/>
        <w:tabs>
          <w:tab w:val="right" w:pos="9639"/>
        </w:tabs>
        <w:rPr>
          <w:noProof w:val="0"/>
          <w:sz w:val="24"/>
          <w:szCs w:val="24"/>
          <w:lang w:eastAsia="ja-JP"/>
        </w:rPr>
      </w:pPr>
      <w:r w:rsidRPr="00DE28D5">
        <w:rPr>
          <w:noProof w:val="0"/>
          <w:sz w:val="24"/>
          <w:szCs w:val="24"/>
        </w:rPr>
        <w:t>3GPP TSG-RAN WG2 Meeting #</w:t>
      </w:r>
      <w:r w:rsidR="009C4869">
        <w:rPr>
          <w:noProof w:val="0"/>
          <w:sz w:val="24"/>
          <w:szCs w:val="24"/>
        </w:rPr>
        <w:t>12</w:t>
      </w:r>
      <w:r w:rsidR="00F4155B">
        <w:rPr>
          <w:noProof w:val="0"/>
          <w:sz w:val="24"/>
          <w:szCs w:val="24"/>
        </w:rPr>
        <w:t>2</w:t>
      </w:r>
      <w:r w:rsidRPr="00DE28D5">
        <w:rPr>
          <w:noProof w:val="0"/>
          <w:sz w:val="24"/>
          <w:szCs w:val="24"/>
        </w:rPr>
        <w:tab/>
      </w:r>
      <w:r w:rsidR="007A4B4E" w:rsidRPr="007A4B4E">
        <w:rPr>
          <w:noProof w:val="0"/>
          <w:sz w:val="24"/>
          <w:szCs w:val="24"/>
        </w:rPr>
        <w:t>R2-</w:t>
      </w:r>
      <w:r w:rsidR="00F4155B" w:rsidRPr="00F4155B">
        <w:rPr>
          <w:noProof w:val="0"/>
          <w:sz w:val="24"/>
          <w:szCs w:val="24"/>
        </w:rPr>
        <w:t>2306517</w:t>
      </w:r>
    </w:p>
    <w:p w14:paraId="6253D680" w14:textId="7733D17B" w:rsidR="0055176A" w:rsidRPr="00AE5F97" w:rsidRDefault="00F4155B" w:rsidP="0055176A">
      <w:pPr>
        <w:tabs>
          <w:tab w:val="center" w:pos="4153"/>
          <w:tab w:val="right" w:pos="9639"/>
        </w:tabs>
        <w:spacing w:after="0"/>
        <w:rPr>
          <w:rFonts w:ascii="Arial" w:hAnsi="Arial" w:cs="Arial"/>
          <w:b/>
          <w:bCs/>
          <w:sz w:val="24"/>
          <w:lang w:eastAsia="ja-JP"/>
        </w:rPr>
      </w:pPr>
      <w:r>
        <w:rPr>
          <w:rFonts w:ascii="Arial" w:hAnsi="Arial" w:cs="Arial"/>
          <w:b/>
          <w:bCs/>
          <w:sz w:val="24"/>
          <w:lang w:val="en-GB" w:eastAsia="ja-JP"/>
        </w:rPr>
        <w:t>Incheon, South Korea</w:t>
      </w:r>
      <w:r w:rsidRPr="00ED0070">
        <w:rPr>
          <w:rFonts w:ascii="Arial" w:hAnsi="Arial" w:cs="Arial"/>
          <w:b/>
          <w:bCs/>
          <w:sz w:val="24"/>
          <w:lang w:val="en-GB" w:eastAsia="ja-JP"/>
        </w:rPr>
        <w:t xml:space="preserve">, </w:t>
      </w:r>
      <w:r>
        <w:rPr>
          <w:rFonts w:ascii="Arial" w:hAnsi="Arial" w:cs="Arial"/>
          <w:b/>
          <w:bCs/>
          <w:sz w:val="24"/>
          <w:lang w:val="en-GB" w:eastAsia="ja-JP"/>
        </w:rPr>
        <w:t>22</w:t>
      </w:r>
      <w:r>
        <w:rPr>
          <w:rFonts w:ascii="Arial" w:hAnsi="Arial" w:cs="Arial"/>
          <w:b/>
          <w:bCs/>
          <w:sz w:val="24"/>
          <w:vertAlign w:val="superscript"/>
          <w:lang w:val="en-GB" w:eastAsia="ja-JP"/>
        </w:rPr>
        <w:t>nd</w:t>
      </w:r>
      <w:r w:rsidRPr="001941D9">
        <w:rPr>
          <w:rFonts w:ascii="Arial" w:hAnsi="Arial" w:cs="Arial"/>
          <w:b/>
          <w:bCs/>
          <w:sz w:val="24"/>
          <w:lang w:val="en-GB" w:eastAsia="ja-JP"/>
        </w:rPr>
        <w:t xml:space="preserve"> – </w:t>
      </w:r>
      <w:r>
        <w:rPr>
          <w:rFonts w:ascii="Arial" w:hAnsi="Arial" w:cs="Arial"/>
          <w:b/>
          <w:bCs/>
          <w:sz w:val="24"/>
          <w:lang w:val="en-GB" w:eastAsia="ja-JP"/>
        </w:rPr>
        <w:t>26</w:t>
      </w:r>
      <w:r>
        <w:rPr>
          <w:rFonts w:ascii="Arial" w:hAnsi="Arial" w:cs="Arial"/>
          <w:b/>
          <w:bCs/>
          <w:sz w:val="24"/>
          <w:vertAlign w:val="superscript"/>
          <w:lang w:val="en-GB" w:eastAsia="ja-JP"/>
        </w:rPr>
        <w:t>th</w:t>
      </w:r>
      <w:r w:rsidRPr="001941D9">
        <w:rPr>
          <w:rFonts w:ascii="Arial" w:hAnsi="Arial" w:cs="Arial"/>
          <w:b/>
          <w:bCs/>
          <w:sz w:val="24"/>
          <w:lang w:val="en-GB" w:eastAsia="ja-JP"/>
        </w:rPr>
        <w:t xml:space="preserve"> </w:t>
      </w:r>
      <w:r>
        <w:rPr>
          <w:rFonts w:ascii="Arial" w:hAnsi="Arial" w:cs="Arial"/>
          <w:b/>
          <w:bCs/>
          <w:sz w:val="24"/>
          <w:lang w:val="en-GB" w:eastAsia="ja-JP"/>
        </w:rPr>
        <w:t>May</w:t>
      </w:r>
      <w:r w:rsidRPr="001941D9">
        <w:rPr>
          <w:rFonts w:ascii="Arial" w:hAnsi="Arial" w:cs="Arial"/>
          <w:b/>
          <w:bCs/>
          <w:sz w:val="24"/>
          <w:lang w:val="en-GB" w:eastAsia="ja-JP"/>
        </w:rPr>
        <w:t xml:space="preserve"> 202</w:t>
      </w:r>
      <w:r>
        <w:rPr>
          <w:rFonts w:ascii="Arial" w:hAnsi="Arial" w:cs="Arial"/>
          <w:b/>
          <w:bCs/>
          <w:sz w:val="24"/>
          <w:lang w:val="en-GB" w:eastAsia="ja-JP"/>
        </w:rPr>
        <w:t>3</w:t>
      </w:r>
      <w:r w:rsidR="007625AE">
        <w:rPr>
          <w:rFonts w:ascii="Arial" w:hAnsi="Arial" w:cs="Arial"/>
          <w:b/>
          <w:bCs/>
          <w:sz w:val="24"/>
          <w:lang w:val="en-GB" w:eastAsia="ja-JP"/>
        </w:rPr>
        <w:tab/>
      </w:r>
      <w:r w:rsidRPr="00F4155B">
        <w:rPr>
          <w:rFonts w:ascii="Arial" w:hAnsi="Arial" w:cs="Arial"/>
          <w:b/>
          <w:bCs/>
          <w:i/>
          <w:iCs/>
          <w:sz w:val="21"/>
          <w:szCs w:val="16"/>
          <w:lang w:val="en-GB" w:eastAsia="ja-JP"/>
        </w:rPr>
        <w:t>Revision of R2-2304147</w:t>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0F9CD5F7"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7625AE">
        <w:rPr>
          <w:rFonts w:ascii="Arial" w:hAnsi="Arial"/>
          <w:b/>
          <w:sz w:val="24"/>
          <w:lang w:eastAsia="ja-JP"/>
        </w:rPr>
        <w:t>7</w:t>
      </w:r>
      <w:r w:rsidR="004C3B2F" w:rsidRPr="004C3B2F">
        <w:rPr>
          <w:rFonts w:ascii="Arial" w:hAnsi="Arial"/>
          <w:b/>
          <w:sz w:val="24"/>
          <w:lang w:eastAsia="ja-JP"/>
        </w:rPr>
        <w:t>.7.4.2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32106134"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F50F8A">
        <w:rPr>
          <w:rFonts w:ascii="Arial" w:hAnsi="Arial"/>
          <w:b/>
          <w:sz w:val="24"/>
        </w:rPr>
        <w:t>“</w:t>
      </w:r>
      <w:r w:rsidR="00D70460">
        <w:rPr>
          <w:rFonts w:ascii="Arial" w:hAnsi="Arial"/>
          <w:b/>
          <w:sz w:val="24"/>
          <w:lang w:eastAsia="ja-JP"/>
        </w:rPr>
        <w:t>U</w:t>
      </w:r>
      <w:r w:rsidR="00845377">
        <w:rPr>
          <w:rFonts w:ascii="Arial" w:hAnsi="Arial"/>
          <w:b/>
          <w:sz w:val="24"/>
          <w:lang w:eastAsia="ja-JP"/>
        </w:rPr>
        <w:t>nchanged PCI</w:t>
      </w:r>
      <w:r w:rsidR="00F50F8A">
        <w:rPr>
          <w:rFonts w:ascii="Arial" w:hAnsi="Arial"/>
          <w:b/>
          <w:sz w:val="24"/>
          <w:lang w:eastAsia="ja-JP"/>
        </w:rPr>
        <w:t>”</w:t>
      </w:r>
      <w:r w:rsidR="00845377">
        <w:rPr>
          <w:rFonts w:ascii="Arial" w:hAnsi="Arial"/>
          <w:b/>
          <w:sz w:val="24"/>
          <w:lang w:eastAsia="ja-JP"/>
        </w:rPr>
        <w:t xml:space="preserve"> solution</w:t>
      </w:r>
      <w:r w:rsidR="00D70460">
        <w:rPr>
          <w:rFonts w:ascii="Arial" w:hAnsi="Arial"/>
          <w:b/>
          <w:sz w:val="24"/>
          <w:lang w:eastAsia="ja-JP"/>
        </w:rPr>
        <w:t xml:space="preserve"> vs </w:t>
      </w:r>
      <w:r w:rsidR="00F50F8A">
        <w:rPr>
          <w:rFonts w:ascii="Arial" w:hAnsi="Arial"/>
          <w:b/>
          <w:sz w:val="24"/>
          <w:lang w:eastAsia="ja-JP"/>
        </w:rPr>
        <w:t>“</w:t>
      </w:r>
      <w:r w:rsidR="00D70460">
        <w:rPr>
          <w:rFonts w:ascii="Arial" w:hAnsi="Arial"/>
          <w:b/>
          <w:sz w:val="24"/>
          <w:lang w:eastAsia="ja-JP"/>
        </w:rPr>
        <w:t>PCI change only</w:t>
      </w:r>
      <w:r w:rsidR="00F50F8A">
        <w:rPr>
          <w:rFonts w:ascii="Arial" w:hAnsi="Arial"/>
          <w:b/>
          <w:sz w:val="24"/>
          <w:lang w:eastAsia="ja-JP"/>
        </w:rPr>
        <w:t>”</w:t>
      </w:r>
      <w:r w:rsidR="00D70460">
        <w:rPr>
          <w:rFonts w:ascii="Arial" w:hAnsi="Arial"/>
          <w:b/>
          <w:sz w:val="24"/>
          <w:lang w:eastAsia="ja-JP"/>
        </w:rPr>
        <w:t xml:space="preserve"> solution</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4B9958E8" w14:textId="18E46B35" w:rsidR="00650576" w:rsidRDefault="00650576" w:rsidP="0019475E">
      <w:pPr>
        <w:jc w:val="both"/>
      </w:pPr>
      <w:r>
        <w:t>The Rel-18</w:t>
      </w:r>
      <w:r w:rsidRPr="00650576">
        <w:t xml:space="preserve"> NR NTN enhancements</w:t>
      </w:r>
      <w:r>
        <w:t xml:space="preserve"> WID includes the following objectives:</w:t>
      </w:r>
    </w:p>
    <w:tbl>
      <w:tblPr>
        <w:tblStyle w:val="TableGrid"/>
        <w:tblW w:w="0" w:type="auto"/>
        <w:tblLook w:val="04A0" w:firstRow="1" w:lastRow="0" w:firstColumn="1" w:lastColumn="0" w:noHBand="0" w:noVBand="1"/>
      </w:tblPr>
      <w:tblGrid>
        <w:gridCol w:w="9621"/>
      </w:tblGrid>
      <w:tr w:rsidR="00650576" w14:paraId="7CD3A821" w14:textId="77777777" w:rsidTr="00650576">
        <w:tc>
          <w:tcPr>
            <w:tcW w:w="9621" w:type="dxa"/>
          </w:tcPr>
          <w:p w14:paraId="38B28837"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4.1.4</w:t>
            </w:r>
            <w:r w:rsidRPr="00650576">
              <w:rPr>
                <w:rFonts w:eastAsia="DengXian"/>
                <w:bCs/>
                <w:lang w:val="en-GB" w:eastAsia="en-GB"/>
              </w:rPr>
              <w:tab/>
              <w:t>NTN-TN and NTN-NTN mobility and service continuity enhancements</w:t>
            </w:r>
          </w:p>
          <w:p w14:paraId="34207D6C"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5D787119"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This work considers existing methods from NR TN as well as outcome of Rel-17 NR NTN WI outcome as baseline for NTN-TN mobility.</w:t>
            </w:r>
          </w:p>
          <w:p w14:paraId="7097B641"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0737C438" w14:textId="77777777" w:rsidR="00650576" w:rsidRPr="00650576" w:rsidRDefault="00650576" w:rsidP="005D51EB">
            <w:pPr>
              <w:numPr>
                <w:ilvl w:val="0"/>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Specify NTN-TN and NTN-NTN measurement/mobility and service continuity enhancements [RAN2,RAN3,RAN4]</w:t>
            </w:r>
          </w:p>
          <w:p w14:paraId="0130B59B"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p w14:paraId="44B3B6BA"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highlight w:val="green"/>
                <w:lang w:val="en-GB" w:eastAsia="en-GB"/>
              </w:rPr>
              <w:t xml:space="preserve">Specify NTN-NTN handover enhancement for </w:t>
            </w:r>
            <w:proofErr w:type="spellStart"/>
            <w:r w:rsidRPr="005A2F50">
              <w:rPr>
                <w:rFonts w:eastAsia="DengXian"/>
                <w:bCs/>
                <w:highlight w:val="green"/>
                <w:lang w:val="en-GB" w:eastAsia="en-GB"/>
              </w:rPr>
              <w:t>RRC_CONNECTED</w:t>
            </w:r>
            <w:proofErr w:type="spellEnd"/>
            <w:r w:rsidRPr="005A2F50">
              <w:rPr>
                <w:rFonts w:eastAsia="DengXian"/>
                <w:bCs/>
                <w:highlight w:val="green"/>
                <w:lang w:val="en-GB" w:eastAsia="en-GB"/>
              </w:rPr>
              <w:t xml:space="preserve"> UEs in the quasi-earth-fixed cell and earth-moving cell to reduce the signalling overhead. [RAN2, RAN3]</w:t>
            </w:r>
          </w:p>
          <w:p w14:paraId="5B3AE0EC" w14:textId="3D75D8FC" w:rsidR="00650576" w:rsidRPr="00650576"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tc>
      </w:tr>
    </w:tbl>
    <w:p w14:paraId="6BEB8401" w14:textId="77777777" w:rsidR="00650576" w:rsidRDefault="00650576" w:rsidP="0019475E">
      <w:pPr>
        <w:jc w:val="both"/>
      </w:pPr>
    </w:p>
    <w:p w14:paraId="7653E47F" w14:textId="77777777" w:rsidR="000474AA" w:rsidRPr="000474AA" w:rsidRDefault="000474AA" w:rsidP="000474AA">
      <w:pPr>
        <w:jc w:val="both"/>
        <w:rPr>
          <w:lang w:val="en-GB"/>
        </w:rPr>
      </w:pPr>
      <w:r w:rsidRPr="000474AA">
        <w:t>During previous meetings, the following agreements related to unchanged PCI solution were reached:</w:t>
      </w:r>
    </w:p>
    <w:tbl>
      <w:tblPr>
        <w:tblStyle w:val="TableGrid2"/>
        <w:tblW w:w="0" w:type="auto"/>
        <w:tblLook w:val="04A0" w:firstRow="1" w:lastRow="0" w:firstColumn="1" w:lastColumn="0" w:noHBand="0" w:noVBand="1"/>
      </w:tblPr>
      <w:tblGrid>
        <w:gridCol w:w="9621"/>
      </w:tblGrid>
      <w:tr w:rsidR="000474AA" w:rsidRPr="000474AA" w14:paraId="4E06DD96" w14:textId="77777777" w:rsidTr="00CF315F">
        <w:tc>
          <w:tcPr>
            <w:tcW w:w="9621" w:type="dxa"/>
          </w:tcPr>
          <w:p w14:paraId="0B71C0B2" w14:textId="77777777" w:rsidR="000474AA" w:rsidRPr="000474AA" w:rsidRDefault="000474AA" w:rsidP="000474AA">
            <w:pPr>
              <w:spacing w:after="0"/>
              <w:jc w:val="both"/>
              <w:rPr>
                <w:lang w:val="en-GB"/>
              </w:rPr>
            </w:pPr>
            <w:r w:rsidRPr="000474AA">
              <w:rPr>
                <w:lang w:val="en-GB"/>
              </w:rPr>
              <w:t>Agreements:</w:t>
            </w:r>
          </w:p>
          <w:p w14:paraId="25FA1726" w14:textId="77777777" w:rsidR="000474AA" w:rsidRPr="000474AA" w:rsidRDefault="000474AA" w:rsidP="000474AA">
            <w:pPr>
              <w:spacing w:after="0"/>
              <w:jc w:val="both"/>
              <w:rPr>
                <w:lang w:val="en-GB"/>
              </w:rPr>
            </w:pPr>
            <w:r w:rsidRPr="000474AA">
              <w:rPr>
                <w:lang w:val="en-GB"/>
              </w:rPr>
              <w:t>2.</w:t>
            </w:r>
            <w:r w:rsidRPr="000474AA">
              <w:rPr>
                <w:lang w:val="en-GB"/>
              </w:rPr>
              <w:tab/>
              <w:t xml:space="preserve">New Proposal 2: RAN2 continues the discussion (e.g. at RAN2#120) on the solution with keeping the same PCI after switching of the satellites. Clarify at least the following: </w:t>
            </w:r>
          </w:p>
          <w:p w14:paraId="0656E646" w14:textId="77777777" w:rsidR="000474AA" w:rsidRPr="000474AA" w:rsidRDefault="000474AA" w:rsidP="000474AA">
            <w:pPr>
              <w:spacing w:after="0"/>
              <w:jc w:val="both"/>
              <w:rPr>
                <w:lang w:val="en-GB"/>
              </w:rPr>
            </w:pPr>
            <w:r w:rsidRPr="000474AA">
              <w:rPr>
                <w:lang w:val="en-GB"/>
              </w:rPr>
              <w:tab/>
              <w:t>•</w:t>
            </w:r>
            <w:r w:rsidRPr="000474AA">
              <w:rPr>
                <w:lang w:val="en-GB"/>
              </w:rPr>
              <w:tab/>
              <w:t>RAN1 impact</w:t>
            </w:r>
          </w:p>
          <w:p w14:paraId="4ECCBA42" w14:textId="77777777" w:rsidR="000474AA" w:rsidRPr="000474AA" w:rsidRDefault="000474AA" w:rsidP="000474AA">
            <w:pPr>
              <w:spacing w:after="0"/>
              <w:jc w:val="both"/>
              <w:rPr>
                <w:lang w:val="en-GB"/>
              </w:rPr>
            </w:pPr>
            <w:r w:rsidRPr="000474AA">
              <w:rPr>
                <w:lang w:val="en-GB"/>
              </w:rPr>
              <w:tab/>
              <w:t>•</w:t>
            </w:r>
            <w:r w:rsidRPr="000474AA">
              <w:rPr>
                <w:lang w:val="en-GB"/>
              </w:rPr>
              <w:tab/>
              <w:t xml:space="preserve">The need to perform UL beam switching and/or RA </w:t>
            </w:r>
          </w:p>
          <w:p w14:paraId="1F1263F9" w14:textId="77777777" w:rsidR="000474AA" w:rsidRPr="000474AA" w:rsidRDefault="000474AA" w:rsidP="000474AA">
            <w:pPr>
              <w:spacing w:after="0"/>
              <w:jc w:val="both"/>
              <w:rPr>
                <w:lang w:val="en-GB"/>
              </w:rPr>
            </w:pPr>
            <w:r w:rsidRPr="000474AA">
              <w:rPr>
                <w:lang w:val="en-GB"/>
              </w:rPr>
              <w:tab/>
              <w:t>•</w:t>
            </w:r>
            <w:r w:rsidRPr="000474AA">
              <w:rPr>
                <w:lang w:val="en-GB"/>
              </w:rPr>
              <w:tab/>
              <w:t>Applicability to hard or soft satellite switching</w:t>
            </w:r>
          </w:p>
          <w:p w14:paraId="1F9213D0" w14:textId="77777777" w:rsidR="000474AA" w:rsidRPr="000474AA" w:rsidRDefault="000474AA" w:rsidP="000474AA">
            <w:pPr>
              <w:spacing w:after="0"/>
              <w:jc w:val="both"/>
            </w:pPr>
          </w:p>
          <w:p w14:paraId="420EC98F" w14:textId="77777777" w:rsidR="000474AA" w:rsidRPr="000474AA" w:rsidRDefault="000474AA" w:rsidP="000474AA">
            <w:pPr>
              <w:spacing w:after="0"/>
              <w:jc w:val="both"/>
              <w:rPr>
                <w:lang w:val="en-GB"/>
              </w:rPr>
            </w:pPr>
            <w:r w:rsidRPr="000474AA">
              <w:rPr>
                <w:lang w:val="en-GB"/>
              </w:rPr>
              <w:t xml:space="preserve">Working Assumption: </w:t>
            </w:r>
          </w:p>
          <w:p w14:paraId="017C572C" w14:textId="77777777" w:rsidR="000474AA" w:rsidRDefault="000474AA" w:rsidP="000474AA">
            <w:pPr>
              <w:spacing w:after="0"/>
              <w:jc w:val="both"/>
              <w:rPr>
                <w:lang w:val="en-GB"/>
              </w:rPr>
            </w:pPr>
            <w:r w:rsidRPr="000474AA">
              <w:rPr>
                <w:lang w:val="en-GB"/>
              </w:rPr>
              <w:t>1.</w:t>
            </w:r>
            <w:r w:rsidRPr="000474AA">
              <w:rPr>
                <w:lang w:val="en-GB"/>
              </w:rPr>
              <w:tab/>
              <w:t>In quasi-earth fixed cell case, for hard satellite switch in the same SSB frequency and same gNB (no key change), satellite switching without PCI changing (not requiring L3 mobility) is supported.</w:t>
            </w:r>
          </w:p>
          <w:p w14:paraId="2B60AE19" w14:textId="7614EE63" w:rsidR="00F50F8A" w:rsidRDefault="00F50F8A" w:rsidP="000474AA">
            <w:pPr>
              <w:spacing w:after="0"/>
              <w:jc w:val="both"/>
              <w:rPr>
                <w:lang w:val="en-GB"/>
              </w:rPr>
            </w:pPr>
          </w:p>
          <w:p w14:paraId="1C0A334B" w14:textId="29AB4191" w:rsidR="00F50F8A" w:rsidRDefault="00F50F8A" w:rsidP="000474AA">
            <w:pPr>
              <w:spacing w:after="0"/>
              <w:jc w:val="both"/>
              <w:rPr>
                <w:lang w:val="en-GB"/>
              </w:rPr>
            </w:pPr>
            <w:r w:rsidRPr="000474AA">
              <w:rPr>
                <w:lang w:val="en-GB"/>
              </w:rPr>
              <w:t>Agreements</w:t>
            </w:r>
            <w:r>
              <w:rPr>
                <w:lang w:val="en-GB"/>
              </w:rPr>
              <w:t>:</w:t>
            </w:r>
          </w:p>
          <w:p w14:paraId="4C57593A" w14:textId="6BBB5422" w:rsidR="00F50F8A" w:rsidRPr="000474AA" w:rsidRDefault="00F50F8A" w:rsidP="000474AA">
            <w:pPr>
              <w:spacing w:after="0"/>
              <w:jc w:val="both"/>
              <w:rPr>
                <w:lang w:val="en-GB"/>
              </w:rPr>
            </w:pPr>
            <w:r w:rsidRPr="00F50F8A">
              <w:rPr>
                <w:lang w:val="en-GB"/>
              </w:rPr>
              <w:t>1.</w:t>
            </w:r>
            <w:r w:rsidRPr="00F50F8A">
              <w:rPr>
                <w:lang w:val="en-GB"/>
              </w:rPr>
              <w:tab/>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p>
        </w:tc>
      </w:tr>
    </w:tbl>
    <w:p w14:paraId="786FA353" w14:textId="77777777" w:rsidR="000474AA" w:rsidRPr="000474AA" w:rsidRDefault="000474AA" w:rsidP="000474AA">
      <w:pPr>
        <w:jc w:val="both"/>
      </w:pPr>
    </w:p>
    <w:p w14:paraId="08CDFCCF" w14:textId="58AC0FB0" w:rsidR="005A2F50" w:rsidRDefault="005A2F50" w:rsidP="005A2F50">
      <w:pPr>
        <w:jc w:val="both"/>
        <w:rPr>
          <w:lang w:eastAsia="ja-JP"/>
        </w:rPr>
      </w:pPr>
      <w:r>
        <w:rPr>
          <w:lang w:eastAsia="ja-JP"/>
        </w:rPr>
        <w:t xml:space="preserve">In </w:t>
      </w:r>
      <w:r w:rsidR="007A4B4E">
        <w:rPr>
          <w:lang w:eastAsia="ja-JP"/>
        </w:rPr>
        <w:t>this contribution</w:t>
      </w:r>
      <w:r>
        <w:rPr>
          <w:lang w:eastAsia="ja-JP"/>
        </w:rPr>
        <w:t xml:space="preserve">, we </w:t>
      </w:r>
      <w:r w:rsidR="00735950">
        <w:rPr>
          <w:lang w:eastAsia="ja-JP"/>
        </w:rPr>
        <w:t xml:space="preserve">consider some aspects of </w:t>
      </w:r>
      <w:r w:rsidR="00F50F8A">
        <w:rPr>
          <w:lang w:eastAsia="ja-JP"/>
        </w:rPr>
        <w:t>this solution</w:t>
      </w:r>
      <w:r>
        <w:rPr>
          <w:lang w:eastAsia="ja-JP"/>
        </w:rPr>
        <w:t>.</w:t>
      </w:r>
    </w:p>
    <w:p w14:paraId="425EE88D" w14:textId="38DD554F" w:rsidR="00D635AB" w:rsidRDefault="006F34D5" w:rsidP="00D635AB">
      <w:pPr>
        <w:pStyle w:val="Heading1"/>
        <w:rPr>
          <w:lang w:val="en-US" w:eastAsia="ja-JP"/>
        </w:rPr>
      </w:pPr>
      <w:r>
        <w:rPr>
          <w:rFonts w:hint="eastAsia"/>
          <w:lang w:val="en-US" w:eastAsia="ja-JP"/>
        </w:rPr>
        <w:t>Discussion</w:t>
      </w:r>
    </w:p>
    <w:p w14:paraId="48DA93E4" w14:textId="4C6194AB" w:rsidR="00C33387" w:rsidRDefault="00C33387" w:rsidP="008F74C4">
      <w:pPr>
        <w:jc w:val="both"/>
        <w:rPr>
          <w:lang w:val="en-GB" w:eastAsia="ja-JP"/>
        </w:rPr>
      </w:pPr>
      <w:r>
        <w:rPr>
          <w:lang w:val="en-GB" w:eastAsia="ja-JP"/>
        </w:rPr>
        <w:t xml:space="preserve">The aim of </w:t>
      </w:r>
      <w:r w:rsidR="00663B0E">
        <w:rPr>
          <w:lang w:val="en-GB" w:eastAsia="ja-JP"/>
        </w:rPr>
        <w:t>“</w:t>
      </w:r>
      <w:r w:rsidR="00663B0E" w:rsidRPr="000474AA">
        <w:rPr>
          <w:lang w:val="en-GB"/>
        </w:rPr>
        <w:t>satellite switching without PCI changing</w:t>
      </w:r>
      <w:r w:rsidR="00663B0E">
        <w:rPr>
          <w:lang w:val="en-GB" w:eastAsia="ja-JP"/>
        </w:rPr>
        <w:t>”</w:t>
      </w:r>
      <w:r>
        <w:rPr>
          <w:lang w:val="en-GB" w:eastAsia="ja-JP"/>
        </w:rPr>
        <w:t xml:space="preserve"> would be </w:t>
      </w:r>
      <w:r w:rsidR="0051605E">
        <w:rPr>
          <w:lang w:val="en-GB" w:eastAsia="ja-JP"/>
        </w:rPr>
        <w:t xml:space="preserve">to </w:t>
      </w:r>
      <w:r>
        <w:rPr>
          <w:lang w:val="en-GB" w:eastAsia="ja-JP"/>
        </w:rPr>
        <w:t xml:space="preserve">avoid handover procedure. </w:t>
      </w:r>
      <w:r w:rsidR="0051605E">
        <w:rPr>
          <w:lang w:val="en-GB" w:eastAsia="ja-JP"/>
        </w:rPr>
        <w:t xml:space="preserve">This </w:t>
      </w:r>
      <w:r w:rsidR="00663B0E">
        <w:rPr>
          <w:lang w:val="en-GB" w:eastAsia="ja-JP"/>
        </w:rPr>
        <w:t>seems very</w:t>
      </w:r>
      <w:r w:rsidR="0051605E">
        <w:rPr>
          <w:lang w:val="en-GB" w:eastAsia="ja-JP"/>
        </w:rPr>
        <w:t xml:space="preserve"> </w:t>
      </w:r>
      <w:r w:rsidR="00381A1A">
        <w:rPr>
          <w:lang w:val="en-GB" w:eastAsia="ja-JP"/>
        </w:rPr>
        <w:t>attractive;</w:t>
      </w:r>
      <w:r>
        <w:rPr>
          <w:lang w:val="en-GB" w:eastAsia="ja-JP"/>
        </w:rPr>
        <w:t xml:space="preserve"> </w:t>
      </w:r>
      <w:r w:rsidR="00295246">
        <w:rPr>
          <w:lang w:val="en-GB" w:eastAsia="ja-JP"/>
        </w:rPr>
        <w:t>however,</w:t>
      </w:r>
      <w:r w:rsidR="00663B0E">
        <w:rPr>
          <w:lang w:val="en-GB" w:eastAsia="ja-JP"/>
        </w:rPr>
        <w:t xml:space="preserve"> it raises some concerns that we detail below.</w:t>
      </w:r>
      <w:r w:rsidR="009852CA">
        <w:rPr>
          <w:lang w:val="en-GB" w:eastAsia="ja-JP"/>
        </w:rPr>
        <w:t xml:space="preserve"> </w:t>
      </w:r>
    </w:p>
    <w:p w14:paraId="61D6B517" w14:textId="7D74873B" w:rsidR="00845377" w:rsidRDefault="00E35038" w:rsidP="00C24F3F">
      <w:pPr>
        <w:pStyle w:val="Heading2"/>
        <w:rPr>
          <w:lang w:eastAsia="ja-JP"/>
        </w:rPr>
      </w:pPr>
      <w:r>
        <w:rPr>
          <w:lang w:eastAsia="ja-JP"/>
        </w:rPr>
        <w:t>Interruption time</w:t>
      </w:r>
    </w:p>
    <w:p w14:paraId="3CF7A158" w14:textId="6EF8F0EE" w:rsidR="001E1B19" w:rsidRDefault="00845377" w:rsidP="008F74C4">
      <w:pPr>
        <w:jc w:val="both"/>
        <w:rPr>
          <w:lang w:val="en-GB" w:eastAsia="ja-JP"/>
        </w:rPr>
      </w:pPr>
      <w:r>
        <w:rPr>
          <w:lang w:val="en-GB" w:eastAsia="ja-JP"/>
        </w:rPr>
        <w:t xml:space="preserve">In </w:t>
      </w:r>
      <w:r w:rsidR="00381A1A">
        <w:rPr>
          <w:lang w:val="en-GB" w:eastAsia="ja-JP"/>
        </w:rPr>
        <w:fldChar w:fldCharType="begin"/>
      </w:r>
      <w:r w:rsidR="00381A1A">
        <w:rPr>
          <w:lang w:val="en-GB" w:eastAsia="ja-JP"/>
        </w:rPr>
        <w:instrText xml:space="preserve"> REF _Ref131776756 \r \h </w:instrText>
      </w:r>
      <w:r w:rsidR="00381A1A">
        <w:rPr>
          <w:lang w:val="en-GB" w:eastAsia="ja-JP"/>
        </w:rPr>
      </w:r>
      <w:r w:rsidR="00381A1A">
        <w:rPr>
          <w:lang w:val="en-GB" w:eastAsia="ja-JP"/>
        </w:rPr>
        <w:fldChar w:fldCharType="separate"/>
      </w:r>
      <w:r w:rsidR="00381A1A">
        <w:rPr>
          <w:lang w:val="en-GB" w:eastAsia="ja-JP"/>
        </w:rPr>
        <w:t>[1]</w:t>
      </w:r>
      <w:r w:rsidR="00381A1A">
        <w:rPr>
          <w:lang w:val="en-GB" w:eastAsia="ja-JP"/>
        </w:rPr>
        <w:fldChar w:fldCharType="end"/>
      </w:r>
      <w:r>
        <w:rPr>
          <w:lang w:val="en-GB" w:eastAsia="ja-JP"/>
        </w:rPr>
        <w:t xml:space="preserve">, </w:t>
      </w:r>
      <w:r w:rsidR="001E1B19">
        <w:rPr>
          <w:lang w:val="en-GB" w:eastAsia="ja-JP"/>
        </w:rPr>
        <w:t>the authors</w:t>
      </w:r>
      <w:r>
        <w:rPr>
          <w:lang w:val="en-GB" w:eastAsia="ja-JP"/>
        </w:rPr>
        <w:t xml:space="preserve"> detailed the motivation in “</w:t>
      </w:r>
      <w:r w:rsidRPr="00845377">
        <w:rPr>
          <w:lang w:val="en-GB" w:eastAsia="ja-JP"/>
        </w:rPr>
        <w:t>2.1 Motivation for PCI unchanged</w:t>
      </w:r>
      <w:r>
        <w:rPr>
          <w:lang w:val="en-GB" w:eastAsia="ja-JP"/>
        </w:rPr>
        <w:t xml:space="preserve">”. </w:t>
      </w:r>
      <w:r w:rsidR="001E1B19">
        <w:rPr>
          <w:lang w:val="en-GB" w:eastAsia="ja-JP"/>
        </w:rPr>
        <w:t>There is no doubt a main motivation would be to reduce the handover signalling overhead – since the legacy L3 handover procedure is completely avoided, this is a huge benefit of the approach. However, another described motivation is the service interruption due to handover:</w:t>
      </w:r>
    </w:p>
    <w:p w14:paraId="3C71508C" w14:textId="7ADFE8AD" w:rsidR="001E1B19" w:rsidRDefault="001E1B19" w:rsidP="008F74C4">
      <w:pPr>
        <w:jc w:val="both"/>
        <w:rPr>
          <w:lang w:val="en-GB" w:eastAsia="ja-JP"/>
        </w:rPr>
      </w:pPr>
      <w:r w:rsidRPr="001E1B19">
        <w:rPr>
          <w:lang w:val="en-GB" w:eastAsia="ja-JP"/>
        </w:rPr>
        <w:lastRenderedPageBreak/>
        <w:t>Observation 2</w:t>
      </w:r>
      <w:r>
        <w:rPr>
          <w:lang w:val="en-GB" w:eastAsia="ja-JP"/>
        </w:rPr>
        <w:t xml:space="preserve"> (from) </w:t>
      </w:r>
      <w:r w:rsidRPr="001E1B19">
        <w:rPr>
          <w:lang w:val="en-GB" w:eastAsia="ja-JP"/>
        </w:rPr>
        <w:t xml:space="preserve">: </w:t>
      </w:r>
      <w:r w:rsidRPr="001E1B19">
        <w:rPr>
          <w:i/>
          <w:iCs/>
          <w:lang w:val="en-GB" w:eastAsia="ja-JP"/>
        </w:rPr>
        <w:t xml:space="preserve">the minimum delay during handover execution in terrestrial scenarios is about 23.4ms, which will be extended in NTN scenarios. This will significantly impact the user experience. This means that the service will be interrupted in more than 23.4 </w:t>
      </w:r>
      <w:proofErr w:type="spellStart"/>
      <w:r w:rsidRPr="001E1B19">
        <w:rPr>
          <w:i/>
          <w:iCs/>
          <w:lang w:val="en-GB" w:eastAsia="ja-JP"/>
        </w:rPr>
        <w:t>ms</w:t>
      </w:r>
      <w:proofErr w:type="spellEnd"/>
      <w:r w:rsidRPr="001E1B19">
        <w:rPr>
          <w:i/>
          <w:iCs/>
          <w:lang w:val="en-GB" w:eastAsia="ja-JP"/>
        </w:rPr>
        <w:t>, per seconds, tens of seconds or hundreds seconds.</w:t>
      </w:r>
    </w:p>
    <w:p w14:paraId="7AEE1D98" w14:textId="14C773B3" w:rsidR="001E1B19" w:rsidRDefault="00093A11" w:rsidP="008F74C4">
      <w:pPr>
        <w:jc w:val="both"/>
        <w:rPr>
          <w:lang w:val="en-GB" w:eastAsia="ja-JP"/>
        </w:rPr>
      </w:pPr>
      <w:r>
        <w:rPr>
          <w:lang w:val="en-GB" w:eastAsia="ja-JP"/>
        </w:rPr>
        <w:t xml:space="preserve">The interruption time depends of several factors, including UE/BS implementation, NW configuration. We think a fair approach is to consider existing RAN4 requirements and assumptions to analyse whether there would be a benefit (in a first approximation). </w:t>
      </w:r>
    </w:p>
    <w:p w14:paraId="39A8151F" w14:textId="099061A0" w:rsidR="001E1B19" w:rsidRDefault="001E1B19" w:rsidP="008F74C4">
      <w:pPr>
        <w:jc w:val="both"/>
        <w:rPr>
          <w:lang w:val="en-GB" w:eastAsia="ja-JP"/>
        </w:rPr>
      </w:pPr>
      <w:r>
        <w:rPr>
          <w:lang w:val="en-GB" w:eastAsia="ja-JP"/>
        </w:rPr>
        <w:t>The interruption time at handover is defined in 38.133 as</w:t>
      </w:r>
    </w:p>
    <w:p w14:paraId="01C300F2" w14:textId="77777777" w:rsidR="001E1B19" w:rsidRPr="001E1B19" w:rsidRDefault="001E1B19" w:rsidP="001E1B19">
      <w:pPr>
        <w:keepLines/>
        <w:tabs>
          <w:tab w:val="center" w:pos="4536"/>
          <w:tab w:val="right" w:pos="9072"/>
        </w:tabs>
        <w:overflowPunct w:val="0"/>
        <w:autoSpaceDE w:val="0"/>
        <w:autoSpaceDN w:val="0"/>
        <w:adjustRightInd w:val="0"/>
        <w:textAlignment w:val="baseline"/>
        <w:rPr>
          <w:rFonts w:eastAsia="Times New Roman"/>
          <w:noProof/>
          <w:lang w:val="en-GB" w:eastAsia="en-GB"/>
        </w:rPr>
      </w:pPr>
      <w:r w:rsidRPr="001E1B19">
        <w:rPr>
          <w:rFonts w:eastAsia="Times New Roman"/>
          <w:noProof/>
          <w:lang w:val="en-GB" w:eastAsia="en-GB"/>
        </w:rPr>
        <w:tab/>
      </w:r>
      <w:r w:rsidRPr="001E1B19">
        <w:rPr>
          <w:rFonts w:eastAsia="Times New Roman" w:cs="v4.2.0"/>
          <w:noProof/>
          <w:color w:val="FFFF00"/>
          <w:highlight w:val="blue"/>
          <w:lang w:val="en-GB" w:eastAsia="en-GB"/>
        </w:rPr>
        <w:t>T</w:t>
      </w:r>
      <w:r w:rsidRPr="001E1B19">
        <w:rPr>
          <w:rFonts w:eastAsia="Times New Roman" w:cs="v4.2.0"/>
          <w:noProof/>
          <w:color w:val="FFFF00"/>
          <w:highlight w:val="blue"/>
          <w:vertAlign w:val="subscript"/>
          <w:lang w:val="en-GB" w:eastAsia="en-GB"/>
        </w:rPr>
        <w:t>interrupt</w:t>
      </w:r>
      <w:r w:rsidRPr="001E1B19">
        <w:rPr>
          <w:rFonts w:eastAsia="Times New Roman"/>
          <w:noProof/>
          <w:lang w:val="en-GB" w:eastAsia="en-GB"/>
        </w:rPr>
        <w:t xml:space="preserve"> = T</w:t>
      </w:r>
      <w:r w:rsidRPr="001E1B19">
        <w:rPr>
          <w:rFonts w:eastAsia="Times New Roman"/>
          <w:noProof/>
          <w:vertAlign w:val="subscript"/>
          <w:lang w:val="en-GB" w:eastAsia="en-GB"/>
        </w:rPr>
        <w:t>search</w:t>
      </w:r>
      <w:r w:rsidRPr="001E1B19">
        <w:rPr>
          <w:rFonts w:eastAsia="Times New Roman"/>
          <w:noProof/>
          <w:lang w:val="en-GB" w:eastAsia="en-GB"/>
        </w:rPr>
        <w:t xml:space="preserve"> + T</w:t>
      </w:r>
      <w:r w:rsidRPr="001E1B19">
        <w:rPr>
          <w:rFonts w:eastAsia="Times New Roman"/>
          <w:noProof/>
          <w:vertAlign w:val="subscript"/>
          <w:lang w:val="en-GB" w:eastAsia="en-GB"/>
        </w:rPr>
        <w:t>IU</w:t>
      </w:r>
      <w:r w:rsidRPr="001E1B19">
        <w:rPr>
          <w:rFonts w:eastAsia="Times New Roman"/>
          <w:noProof/>
          <w:lang w:val="en-GB" w:eastAsia="en-GB"/>
        </w:rPr>
        <w:t xml:space="preserve"> + T</w:t>
      </w:r>
      <w:r w:rsidRPr="001E1B19">
        <w:rPr>
          <w:rFonts w:eastAsia="Times New Roman"/>
          <w:noProof/>
          <w:vertAlign w:val="subscript"/>
          <w:lang w:val="en-GB" w:eastAsia="zh-CN"/>
        </w:rPr>
        <w:t>processing</w:t>
      </w:r>
      <w:r w:rsidRPr="001E1B19" w:rsidDel="001D62E5">
        <w:rPr>
          <w:rFonts w:eastAsia="Times New Roman"/>
          <w:noProof/>
          <w:lang w:val="en-GB" w:eastAsia="zh-CN"/>
        </w:rPr>
        <w:t xml:space="preserve"> </w:t>
      </w:r>
      <w:r w:rsidRPr="001E1B19">
        <w:rPr>
          <w:rFonts w:eastAsia="Times New Roman"/>
          <w:noProof/>
          <w:vertAlign w:val="subscript"/>
          <w:lang w:val="en-GB" w:eastAsia="zh-CN"/>
        </w:rPr>
        <w:t xml:space="preserve"> </w:t>
      </w:r>
      <w:r w:rsidRPr="001E1B19">
        <w:rPr>
          <w:rFonts w:eastAsia="Times New Roman"/>
          <w:noProof/>
          <w:lang w:val="en-GB" w:eastAsia="zh-CN"/>
        </w:rPr>
        <w:t xml:space="preserve">+ </w:t>
      </w:r>
      <w:r w:rsidRPr="001E1B19">
        <w:rPr>
          <w:rFonts w:eastAsia="Times New Roman"/>
          <w:noProof/>
          <w:highlight w:val="green"/>
          <w:lang w:val="en-GB" w:eastAsia="zh-CN"/>
        </w:rPr>
        <w:t>T</w:t>
      </w:r>
      <w:r w:rsidRPr="001E1B19">
        <w:rPr>
          <w:rFonts w:eastAsia="Times New Roman"/>
          <w:noProof/>
          <w:highlight w:val="green"/>
          <w:vertAlign w:val="subscript"/>
          <w:lang w:val="en-GB" w:eastAsia="zh-CN"/>
        </w:rPr>
        <w:t>∆</w:t>
      </w:r>
      <w:r w:rsidRPr="001E1B19">
        <w:rPr>
          <w:rFonts w:eastAsia="Times New Roman"/>
          <w:noProof/>
          <w:lang w:val="en-GB" w:eastAsia="zh-CN"/>
        </w:rPr>
        <w:t xml:space="preserve"> + T</w:t>
      </w:r>
      <w:r w:rsidRPr="001E1B19">
        <w:rPr>
          <w:rFonts w:eastAsia="Times New Roman"/>
          <w:noProof/>
          <w:vertAlign w:val="subscript"/>
          <w:lang w:val="en-GB" w:eastAsia="zh-CN"/>
        </w:rPr>
        <w:t xml:space="preserve">margin </w:t>
      </w:r>
      <w:r w:rsidRPr="001E1B19">
        <w:rPr>
          <w:rFonts w:eastAsia="Times New Roman"/>
          <w:noProof/>
          <w:lang w:val="en-GB" w:eastAsia="en-GB"/>
        </w:rPr>
        <w:t>ms</w:t>
      </w:r>
    </w:p>
    <w:p w14:paraId="7A6FF0F7" w14:textId="77777777" w:rsidR="00B02D77" w:rsidRPr="00B02D77" w:rsidRDefault="00B02D77" w:rsidP="00B02D77">
      <w:pPr>
        <w:rPr>
          <w:rFonts w:eastAsia="Times New Roman" w:cs="v4.2.0"/>
          <w:lang w:val="en-GB"/>
        </w:rPr>
      </w:pPr>
      <w:bookmarkStart w:id="1" w:name="_Hlk131766590"/>
      <w:r w:rsidRPr="00B02D77">
        <w:rPr>
          <w:rFonts w:eastAsia="Times New Roman" w:cs="v4.2.0"/>
          <w:lang w:val="en-GB"/>
        </w:rPr>
        <w:t>Where:</w:t>
      </w:r>
    </w:p>
    <w:p w14:paraId="337C3DC0"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en-GB"/>
        </w:rPr>
        <w:tab/>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is the time required to search the target </w:t>
      </w:r>
      <w:r w:rsidRPr="00B02D77">
        <w:rPr>
          <w:rFonts w:eastAsia="Times New Roman" w:hint="eastAsia"/>
          <w:lang w:val="en-GB" w:eastAsia="zh-CN"/>
        </w:rPr>
        <w:t xml:space="preserve">NR SAN </w:t>
      </w:r>
      <w:r w:rsidRPr="00B02D77">
        <w:rPr>
          <w:rFonts w:eastAsia="Times New Roman"/>
          <w:lang w:val="en-GB" w:eastAsia="en-GB"/>
        </w:rPr>
        <w:t xml:space="preserve">cell when the target cell is not already known when the handover command is received by the UE. If the target cell is known, then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 0 </w:t>
      </w:r>
      <w:proofErr w:type="spellStart"/>
      <w:r w:rsidRPr="00B02D77">
        <w:rPr>
          <w:rFonts w:eastAsia="Times New Roman"/>
          <w:lang w:val="en-GB" w:eastAsia="en-GB"/>
        </w:rPr>
        <w:t>ms</w:t>
      </w:r>
      <w:proofErr w:type="spellEnd"/>
      <w:r w:rsidRPr="00B02D77">
        <w:rPr>
          <w:rFonts w:eastAsia="Times New Roman"/>
          <w:lang w:val="en-GB" w:eastAsia="en-GB"/>
        </w:rPr>
        <w:t>. If the target cell is an unknown intra-frequency cell and the target cell Es/</w:t>
      </w:r>
      <w:proofErr w:type="spellStart"/>
      <w:r w:rsidRPr="00B02D77">
        <w:rPr>
          <w:rFonts w:eastAsia="Times New Roman"/>
          <w:lang w:val="en-GB" w:eastAsia="en-GB"/>
        </w:rPr>
        <w:t>Iot</w:t>
      </w:r>
      <w:proofErr w:type="spellEnd"/>
      <w:r w:rsidRPr="00B02D77">
        <w:rPr>
          <w:rFonts w:eastAsia="Times New Roman" w:hint="eastAsia"/>
          <w:lang w:val="en-GB" w:eastAsia="zh-CN"/>
        </w:rPr>
        <w:t xml:space="preserve"> </w:t>
      </w:r>
      <w:r w:rsidRPr="00B02D77">
        <w:rPr>
          <w:rFonts w:eastAsia="Times New Roman"/>
          <w:lang w:val="en-GB" w:eastAsia="en-GB"/>
        </w:rPr>
        <w:t>≥</w:t>
      </w:r>
      <w:r w:rsidRPr="00B02D77">
        <w:rPr>
          <w:rFonts w:eastAsia="Times New Roman" w:hint="eastAsia"/>
          <w:lang w:val="en-GB" w:eastAsia="zh-CN"/>
        </w:rPr>
        <w:t xml:space="preserve"> </w:t>
      </w:r>
      <w:r w:rsidRPr="00B02D77">
        <w:rPr>
          <w:rFonts w:eastAsia="Times New Roman"/>
          <w:lang w:val="en-GB" w:eastAsia="en-GB"/>
        </w:rPr>
        <w:t xml:space="preserve">-2 dB, then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 </w:t>
      </w:r>
      <w:proofErr w:type="spellStart"/>
      <w:r w:rsidRPr="00B02D77">
        <w:rPr>
          <w:rFonts w:eastAsia="Times New Roman"/>
          <w:highlight w:val="red"/>
          <w:lang w:val="en-GB" w:eastAsia="en-GB"/>
        </w:rPr>
        <w:t>T</w:t>
      </w:r>
      <w:r w:rsidRPr="00B02D77">
        <w:rPr>
          <w:rFonts w:eastAsia="Times New Roman"/>
          <w:highlight w:val="red"/>
          <w:vertAlign w:val="subscript"/>
          <w:lang w:val="en-GB" w:eastAsia="en-GB"/>
        </w:rPr>
        <w:t>rs</w:t>
      </w:r>
      <w:proofErr w:type="spellEnd"/>
      <w:r w:rsidRPr="00B02D77">
        <w:rPr>
          <w:rFonts w:eastAsia="Times New Roman"/>
          <w:lang w:val="en-GB" w:eastAsia="en-GB"/>
        </w:rPr>
        <w:t xml:space="preserve"> </w:t>
      </w:r>
      <w:proofErr w:type="spellStart"/>
      <w:r w:rsidRPr="00B02D77">
        <w:rPr>
          <w:rFonts w:eastAsia="Times New Roman"/>
          <w:lang w:val="en-GB" w:eastAsia="en-GB"/>
        </w:rPr>
        <w:t>ms</w:t>
      </w:r>
      <w:proofErr w:type="spellEnd"/>
      <w:r w:rsidRPr="00B02D77">
        <w:rPr>
          <w:rFonts w:eastAsia="Times New Roman"/>
          <w:lang w:val="en-GB" w:eastAsia="en-GB"/>
        </w:rPr>
        <w:t>. If the target cell is an unknown inter-frequency cell and the target cell Es/</w:t>
      </w:r>
      <w:proofErr w:type="spellStart"/>
      <w:r w:rsidRPr="00B02D77">
        <w:rPr>
          <w:rFonts w:eastAsia="Times New Roman"/>
          <w:lang w:val="en-GB" w:eastAsia="en-GB"/>
        </w:rPr>
        <w:t>Iot</w:t>
      </w:r>
      <w:proofErr w:type="spellEnd"/>
      <w:r w:rsidRPr="00B02D77">
        <w:rPr>
          <w:rFonts w:eastAsia="Times New Roman" w:hint="eastAsia"/>
          <w:lang w:val="en-GB" w:eastAsia="zh-CN"/>
        </w:rPr>
        <w:t xml:space="preserve"> </w:t>
      </w:r>
      <w:r w:rsidRPr="00B02D77">
        <w:rPr>
          <w:rFonts w:eastAsia="Times New Roman"/>
          <w:lang w:val="en-GB" w:eastAsia="en-GB"/>
        </w:rPr>
        <w:t>≥</w:t>
      </w:r>
      <w:r w:rsidRPr="00B02D77">
        <w:rPr>
          <w:rFonts w:eastAsia="Times New Roman" w:hint="eastAsia"/>
          <w:lang w:val="en-GB" w:eastAsia="zh-CN"/>
        </w:rPr>
        <w:t xml:space="preserve"> </w:t>
      </w:r>
      <w:r w:rsidRPr="00B02D77">
        <w:rPr>
          <w:rFonts w:eastAsia="Times New Roman"/>
          <w:lang w:val="en-GB" w:eastAsia="en-GB"/>
        </w:rPr>
        <w:t xml:space="preserve">-2 dB, then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 3* </w:t>
      </w:r>
      <w:proofErr w:type="spellStart"/>
      <w:r w:rsidRPr="00B02D77">
        <w:rPr>
          <w:rFonts w:eastAsia="Times New Roman"/>
          <w:highlight w:val="red"/>
          <w:lang w:val="en-GB" w:eastAsia="en-GB"/>
        </w:rPr>
        <w:t>T</w:t>
      </w:r>
      <w:r w:rsidRPr="00B02D77">
        <w:rPr>
          <w:rFonts w:eastAsia="Times New Roman"/>
          <w:highlight w:val="red"/>
          <w:vertAlign w:val="subscript"/>
          <w:lang w:val="en-GB" w:eastAsia="en-GB"/>
        </w:rPr>
        <w:t>rs</w:t>
      </w:r>
      <w:proofErr w:type="spellEnd"/>
      <w:r w:rsidRPr="00B02D77">
        <w:rPr>
          <w:rFonts w:eastAsia="Times New Roman"/>
          <w:lang w:val="en-GB" w:eastAsia="en-GB"/>
        </w:rPr>
        <w:t xml:space="preserve"> </w:t>
      </w:r>
      <w:proofErr w:type="spellStart"/>
      <w:r w:rsidRPr="00B02D77">
        <w:rPr>
          <w:rFonts w:eastAsia="Times New Roman"/>
          <w:lang w:val="en-GB" w:eastAsia="en-GB"/>
        </w:rPr>
        <w:t>ms</w:t>
      </w:r>
      <w:proofErr w:type="spellEnd"/>
      <w:r w:rsidRPr="00B02D77">
        <w:rPr>
          <w:rFonts w:eastAsia="Times New Roman"/>
          <w:lang w:val="en-GB" w:eastAsia="en-GB"/>
        </w:rPr>
        <w:t xml:space="preserve">. Regardless of whether </w:t>
      </w:r>
      <w:proofErr w:type="spellStart"/>
      <w:r w:rsidRPr="00B02D77">
        <w:rPr>
          <w:rFonts w:eastAsia="Times New Roman"/>
          <w:lang w:val="en-GB" w:eastAsia="en-GB"/>
        </w:rPr>
        <w:t>DRX</w:t>
      </w:r>
      <w:proofErr w:type="spellEnd"/>
      <w:r w:rsidRPr="00B02D77">
        <w:rPr>
          <w:rFonts w:eastAsia="Times New Roman"/>
          <w:lang w:val="en-GB" w:eastAsia="en-GB"/>
        </w:rPr>
        <w:t xml:space="preserve"> is in use by the UE,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shall still be based on non-</w:t>
      </w:r>
      <w:proofErr w:type="spellStart"/>
      <w:r w:rsidRPr="00B02D77">
        <w:rPr>
          <w:rFonts w:eastAsia="Times New Roman"/>
          <w:lang w:val="en-GB" w:eastAsia="en-GB"/>
        </w:rPr>
        <w:t>DRX</w:t>
      </w:r>
      <w:proofErr w:type="spellEnd"/>
      <w:r w:rsidRPr="00B02D77">
        <w:rPr>
          <w:rFonts w:eastAsia="Times New Roman"/>
          <w:lang w:val="en-GB" w:eastAsia="en-GB"/>
        </w:rPr>
        <w:t xml:space="preserve"> target cell search times.</w:t>
      </w:r>
    </w:p>
    <w:p w14:paraId="4059B8B4"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en-GB"/>
        </w:rPr>
        <w:tab/>
      </w:r>
      <w:r w:rsidRPr="00B02D77">
        <w:rPr>
          <w:rFonts w:eastAsia="Times New Roman"/>
          <w:highlight w:val="green"/>
          <w:lang w:val="en-GB" w:eastAsia="en-GB"/>
        </w:rPr>
        <w:t>T</w:t>
      </w:r>
      <w:r w:rsidRPr="00B02D77">
        <w:rPr>
          <w:rFonts w:eastAsia="Times New Roman"/>
          <w:highlight w:val="green"/>
          <w:vertAlign w:val="subscript"/>
          <w:lang w:val="en-GB" w:eastAsia="en-GB"/>
        </w:rPr>
        <w:t>∆</w:t>
      </w:r>
      <w:r w:rsidRPr="00B02D77">
        <w:rPr>
          <w:rFonts w:eastAsia="Times New Roman"/>
          <w:lang w:val="en-GB" w:eastAsia="en-GB"/>
        </w:rPr>
        <w:t xml:space="preserve"> is time for fine time tracking and acquiring full timing information of the target cell. </w:t>
      </w:r>
      <w:r w:rsidRPr="00B02D77">
        <w:rPr>
          <w:rFonts w:eastAsia="Times New Roman"/>
          <w:highlight w:val="green"/>
          <w:lang w:val="en-GB" w:eastAsia="en-GB"/>
        </w:rPr>
        <w:t>T</w:t>
      </w:r>
      <w:r w:rsidRPr="00B02D77">
        <w:rPr>
          <w:rFonts w:eastAsia="Times New Roman"/>
          <w:highlight w:val="green"/>
          <w:vertAlign w:val="subscript"/>
          <w:lang w:val="en-GB" w:eastAsia="en-GB"/>
        </w:rPr>
        <w:t>∆</w:t>
      </w:r>
      <w:r w:rsidRPr="00B02D77">
        <w:rPr>
          <w:rFonts w:eastAsia="Times New Roman"/>
          <w:lang w:val="en-GB" w:eastAsia="en-GB"/>
        </w:rPr>
        <w:t xml:space="preserve"> = </w:t>
      </w:r>
      <w:proofErr w:type="spellStart"/>
      <w:r w:rsidRPr="00B02D77">
        <w:rPr>
          <w:rFonts w:eastAsia="Times New Roman"/>
          <w:highlight w:val="red"/>
          <w:lang w:val="en-GB" w:eastAsia="en-GB"/>
        </w:rPr>
        <w:t>T</w:t>
      </w:r>
      <w:r w:rsidRPr="00B02D77">
        <w:rPr>
          <w:rFonts w:eastAsia="Times New Roman"/>
          <w:highlight w:val="red"/>
          <w:vertAlign w:val="subscript"/>
          <w:lang w:val="en-GB" w:eastAsia="en-GB"/>
        </w:rPr>
        <w:t>rs</w:t>
      </w:r>
      <w:proofErr w:type="spellEnd"/>
      <w:r w:rsidRPr="00B02D77">
        <w:rPr>
          <w:rFonts w:eastAsia="Times New Roman"/>
          <w:lang w:val="en-GB" w:eastAsia="en-GB"/>
        </w:rPr>
        <w:t>.</w:t>
      </w:r>
    </w:p>
    <w:p w14:paraId="4D0FB5F2"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en-GB"/>
        </w:rPr>
        <w:tab/>
      </w:r>
      <w:proofErr w:type="spellStart"/>
      <w:r w:rsidRPr="00B02D77">
        <w:rPr>
          <w:rFonts w:eastAsia="Times New Roman"/>
          <w:lang w:val="en-GB" w:eastAsia="en-GB"/>
        </w:rPr>
        <w:t>T</w:t>
      </w:r>
      <w:r w:rsidRPr="00B02D77">
        <w:rPr>
          <w:rFonts w:eastAsia="Times New Roman"/>
          <w:vertAlign w:val="subscript"/>
          <w:lang w:val="en-GB" w:eastAsia="zh-CN"/>
        </w:rPr>
        <w:t>processing</w:t>
      </w:r>
      <w:proofErr w:type="spellEnd"/>
      <w:r w:rsidRPr="00B02D77">
        <w:rPr>
          <w:rFonts w:eastAsia="Times New Roman"/>
          <w:lang w:val="en-GB" w:eastAsia="en-GB"/>
        </w:rPr>
        <w:t xml:space="preserve"> is time for UE processing. </w:t>
      </w:r>
      <w:proofErr w:type="spellStart"/>
      <w:r w:rsidRPr="00B02D77">
        <w:rPr>
          <w:rFonts w:eastAsia="Times New Roman"/>
          <w:lang w:val="en-GB" w:eastAsia="en-GB"/>
        </w:rPr>
        <w:t>T</w:t>
      </w:r>
      <w:r w:rsidRPr="00B02D77">
        <w:rPr>
          <w:rFonts w:eastAsia="Times New Roman"/>
          <w:vertAlign w:val="subscript"/>
          <w:lang w:val="en-GB" w:eastAsia="zh-CN"/>
        </w:rPr>
        <w:t>processing</w:t>
      </w:r>
      <w:proofErr w:type="spellEnd"/>
      <w:r w:rsidRPr="00B02D77">
        <w:rPr>
          <w:rFonts w:eastAsia="Times New Roman"/>
          <w:lang w:val="en-GB" w:eastAsia="en-GB"/>
        </w:rPr>
        <w:t xml:space="preserve"> can be up to 20ms.</w:t>
      </w:r>
    </w:p>
    <w:p w14:paraId="6EC3D59C"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zh-CN"/>
        </w:rPr>
        <w:tab/>
      </w:r>
      <w:proofErr w:type="spellStart"/>
      <w:r w:rsidRPr="00B02D77">
        <w:rPr>
          <w:rFonts w:eastAsia="Times New Roman"/>
          <w:lang w:val="en-GB" w:eastAsia="zh-CN"/>
        </w:rPr>
        <w:t>T</w:t>
      </w:r>
      <w:r w:rsidRPr="00B02D77">
        <w:rPr>
          <w:rFonts w:eastAsia="Times New Roman"/>
          <w:vertAlign w:val="subscript"/>
          <w:lang w:val="en-GB" w:eastAsia="zh-CN"/>
        </w:rPr>
        <w:t>margin</w:t>
      </w:r>
      <w:proofErr w:type="spellEnd"/>
      <w:r w:rsidRPr="00B02D77">
        <w:rPr>
          <w:rFonts w:eastAsia="Times New Roman"/>
          <w:vertAlign w:val="subscript"/>
          <w:lang w:val="en-GB" w:eastAsia="zh-CN"/>
        </w:rPr>
        <w:t xml:space="preserve"> </w:t>
      </w:r>
      <w:r w:rsidRPr="00B02D77">
        <w:rPr>
          <w:rFonts w:eastAsia="Times New Roman"/>
          <w:lang w:val="en-GB" w:eastAsia="zh-CN"/>
        </w:rPr>
        <w:t xml:space="preserve">is time for SSB post-processing. </w:t>
      </w:r>
      <w:proofErr w:type="spellStart"/>
      <w:r w:rsidRPr="00B02D77">
        <w:rPr>
          <w:rFonts w:eastAsia="Times New Roman"/>
          <w:lang w:val="en-GB" w:eastAsia="zh-CN"/>
        </w:rPr>
        <w:t>T</w:t>
      </w:r>
      <w:r w:rsidRPr="00B02D77">
        <w:rPr>
          <w:rFonts w:eastAsia="Times New Roman"/>
          <w:vertAlign w:val="subscript"/>
          <w:lang w:val="en-GB" w:eastAsia="zh-CN"/>
        </w:rPr>
        <w:t>margin</w:t>
      </w:r>
      <w:proofErr w:type="spellEnd"/>
      <w:r w:rsidRPr="00B02D77">
        <w:rPr>
          <w:rFonts w:eastAsia="Times New Roman"/>
          <w:vertAlign w:val="subscript"/>
          <w:lang w:val="en-GB" w:eastAsia="zh-CN"/>
        </w:rPr>
        <w:t xml:space="preserve"> </w:t>
      </w:r>
      <w:r w:rsidRPr="00B02D77">
        <w:rPr>
          <w:rFonts w:eastAsia="Times New Roman"/>
          <w:lang w:val="en-GB" w:eastAsia="zh-CN"/>
        </w:rPr>
        <w:t>can be up to 2ms.</w:t>
      </w:r>
    </w:p>
    <w:p w14:paraId="69E6B390"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zh-CN"/>
        </w:rPr>
      </w:pPr>
      <w:r w:rsidRPr="00B02D77">
        <w:rPr>
          <w:rFonts w:eastAsia="Times New Roman" w:hint="eastAsia"/>
          <w:lang w:val="en-GB" w:eastAsia="zh-CN"/>
        </w:rPr>
        <w:t>-</w:t>
      </w:r>
      <w:r w:rsidRPr="00B02D77">
        <w:rPr>
          <w:rFonts w:eastAsia="Times New Roman"/>
          <w:lang w:val="en-GB" w:eastAsia="en-GB"/>
        </w:rPr>
        <w:tab/>
        <w:t>T</w:t>
      </w:r>
      <w:r w:rsidRPr="00B02D77">
        <w:rPr>
          <w:rFonts w:eastAsia="Times New Roman"/>
          <w:vertAlign w:val="subscript"/>
          <w:lang w:val="en-GB" w:eastAsia="en-GB"/>
        </w:rPr>
        <w:t>IU</w:t>
      </w:r>
      <w:r w:rsidRPr="00B02D77">
        <w:rPr>
          <w:rFonts w:eastAsia="Times New Roman"/>
          <w:lang w:val="en-GB" w:eastAsia="en-GB"/>
        </w:rPr>
        <w:t xml:space="preserve"> is the interruption uncertainty </w:t>
      </w:r>
      <w:r w:rsidRPr="00B02D77">
        <w:rPr>
          <w:rFonts w:eastAsia="Times New Roman"/>
          <w:lang w:val="en-GB" w:eastAsia="zh-CN"/>
        </w:rPr>
        <w:t xml:space="preserve">in acquiring the first available </w:t>
      </w:r>
      <w:proofErr w:type="spellStart"/>
      <w:r w:rsidRPr="00B02D77">
        <w:rPr>
          <w:rFonts w:eastAsia="Times New Roman"/>
          <w:lang w:val="en-GB" w:eastAsia="zh-CN"/>
        </w:rPr>
        <w:t>PRACH</w:t>
      </w:r>
      <w:proofErr w:type="spellEnd"/>
      <w:r w:rsidRPr="00B02D77">
        <w:rPr>
          <w:rFonts w:eastAsia="Times New Roman"/>
          <w:lang w:val="en-GB" w:eastAsia="zh-CN"/>
        </w:rPr>
        <w:t xml:space="preserve"> occasion in the new cell</w:t>
      </w:r>
      <w:r w:rsidRPr="00B02D77">
        <w:rPr>
          <w:rFonts w:eastAsia="Times New Roman"/>
          <w:lang w:val="en-GB" w:eastAsia="en-GB"/>
        </w:rPr>
        <w:t>. T</w:t>
      </w:r>
      <w:r w:rsidRPr="00B02D77">
        <w:rPr>
          <w:rFonts w:eastAsia="Times New Roman"/>
          <w:vertAlign w:val="subscript"/>
          <w:lang w:val="en-GB" w:eastAsia="en-GB"/>
        </w:rPr>
        <w:t>IU</w:t>
      </w:r>
      <w:r w:rsidRPr="00B02D77">
        <w:rPr>
          <w:rFonts w:eastAsia="Times New Roman"/>
          <w:lang w:val="en-GB" w:eastAsia="en-GB"/>
        </w:rPr>
        <w:t xml:space="preserve"> can be up to the summation of SSB to </w:t>
      </w:r>
      <w:proofErr w:type="spellStart"/>
      <w:r w:rsidRPr="00B02D77">
        <w:rPr>
          <w:rFonts w:eastAsia="Times New Roman"/>
          <w:lang w:val="en-GB" w:eastAsia="en-GB"/>
        </w:rPr>
        <w:t>PRACH</w:t>
      </w:r>
      <w:proofErr w:type="spellEnd"/>
      <w:r w:rsidRPr="00B02D77">
        <w:rPr>
          <w:rFonts w:eastAsia="Times New Roman"/>
          <w:lang w:val="en-GB" w:eastAsia="en-GB"/>
        </w:rPr>
        <w:t xml:space="preserve"> occasion association period and </w:t>
      </w:r>
      <w:r w:rsidRPr="00B02D77">
        <w:rPr>
          <w:rFonts w:eastAsia="Times New Roman" w:hint="eastAsia"/>
          <w:lang w:val="en-GB" w:eastAsia="zh-CN"/>
        </w:rPr>
        <w:t>[x]</w:t>
      </w:r>
      <w:r w:rsidRPr="00B02D77">
        <w:rPr>
          <w:rFonts w:eastAsia="Times New Roman"/>
          <w:lang w:val="en-GB" w:eastAsia="en-GB"/>
        </w:rPr>
        <w:t xml:space="preserve"> </w:t>
      </w:r>
      <w:proofErr w:type="spellStart"/>
      <w:r w:rsidRPr="00B02D77">
        <w:rPr>
          <w:rFonts w:eastAsia="Times New Roman"/>
          <w:lang w:val="en-GB" w:eastAsia="en-GB"/>
        </w:rPr>
        <w:t>ms</w:t>
      </w:r>
      <w:proofErr w:type="spellEnd"/>
      <w:r w:rsidRPr="00B02D77">
        <w:rPr>
          <w:rFonts w:eastAsia="Times New Roman"/>
          <w:lang w:val="en-GB" w:eastAsia="en-GB"/>
        </w:rPr>
        <w:t xml:space="preserve">. SSB to </w:t>
      </w:r>
      <w:proofErr w:type="spellStart"/>
      <w:r w:rsidRPr="00B02D77">
        <w:rPr>
          <w:rFonts w:eastAsia="Times New Roman"/>
          <w:lang w:val="en-GB" w:eastAsia="en-GB"/>
        </w:rPr>
        <w:t>PRACH</w:t>
      </w:r>
      <w:proofErr w:type="spellEnd"/>
      <w:r w:rsidRPr="00B02D77">
        <w:rPr>
          <w:rFonts w:eastAsia="Times New Roman"/>
          <w:lang w:val="en-GB" w:eastAsia="en-GB"/>
        </w:rPr>
        <w:t xml:space="preserve"> occasion associated period is defined in the table 8.1-1 of TS 38.213 [3].</w:t>
      </w:r>
    </w:p>
    <w:p w14:paraId="528378BF" w14:textId="227A0052" w:rsid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en-GB"/>
        </w:rPr>
        <w:tab/>
      </w:r>
      <w:proofErr w:type="spellStart"/>
      <w:r w:rsidRPr="00B02D77">
        <w:rPr>
          <w:rFonts w:eastAsia="Times New Roman"/>
          <w:highlight w:val="red"/>
          <w:lang w:val="en-GB" w:eastAsia="en-GB"/>
        </w:rPr>
        <w:t>T</w:t>
      </w:r>
      <w:r w:rsidRPr="00B02D77">
        <w:rPr>
          <w:rFonts w:eastAsia="Times New Roman"/>
          <w:highlight w:val="red"/>
          <w:vertAlign w:val="subscript"/>
          <w:lang w:val="en-GB" w:eastAsia="en-GB"/>
        </w:rPr>
        <w:t>rs</w:t>
      </w:r>
      <w:proofErr w:type="spellEnd"/>
      <w:r w:rsidRPr="00B02D77">
        <w:rPr>
          <w:rFonts w:eastAsia="Times New Roman"/>
          <w:lang w:val="en-GB" w:eastAsia="en-GB"/>
        </w:rPr>
        <w:t xml:space="preserve"> is the </w:t>
      </w:r>
      <w:proofErr w:type="spellStart"/>
      <w:r w:rsidRPr="00B02D77">
        <w:rPr>
          <w:rFonts w:eastAsia="Times New Roman"/>
          <w:lang w:val="en-GB" w:eastAsia="en-GB"/>
        </w:rPr>
        <w:t>SMTC</w:t>
      </w:r>
      <w:proofErr w:type="spellEnd"/>
      <w:r w:rsidRPr="00B02D77">
        <w:rPr>
          <w:rFonts w:eastAsia="Times New Roman"/>
          <w:lang w:val="en-GB" w:eastAsia="en-GB"/>
        </w:rPr>
        <w:t xml:space="preserve"> periodicity of the target NR </w:t>
      </w:r>
      <w:r w:rsidRPr="00B02D77">
        <w:rPr>
          <w:rFonts w:eastAsia="Times New Roman" w:hint="eastAsia"/>
          <w:lang w:val="en-GB" w:eastAsia="zh-CN"/>
        </w:rPr>
        <w:t xml:space="preserve">SAN </w:t>
      </w:r>
      <w:r w:rsidRPr="00B02D77">
        <w:rPr>
          <w:rFonts w:eastAsia="Times New Roman"/>
          <w:lang w:val="en-GB" w:eastAsia="en-GB"/>
        </w:rPr>
        <w:t>cell</w:t>
      </w:r>
      <w:bookmarkEnd w:id="1"/>
      <w:r w:rsidRPr="00B02D77">
        <w:rPr>
          <w:rFonts w:eastAsia="Times New Roman"/>
          <w:lang w:val="en-GB" w:eastAsia="en-GB"/>
        </w:rPr>
        <w:t xml:space="preserve"> </w:t>
      </w:r>
      <w:r>
        <w:rPr>
          <w:rFonts w:eastAsia="Times New Roman"/>
          <w:lang w:val="en-GB" w:eastAsia="en-GB"/>
        </w:rPr>
        <w:t>[…]</w:t>
      </w:r>
    </w:p>
    <w:p w14:paraId="76E26F33" w14:textId="19EBB7B1" w:rsidR="00B02D77" w:rsidRDefault="00B02D77" w:rsidP="008F74C4">
      <w:pPr>
        <w:jc w:val="both"/>
        <w:rPr>
          <w:lang w:val="en-GB" w:eastAsia="ja-JP"/>
        </w:rPr>
      </w:pPr>
    </w:p>
    <w:p w14:paraId="02F2C125" w14:textId="422AF6D3" w:rsidR="00B02D77" w:rsidRDefault="00B02D77" w:rsidP="008F74C4">
      <w:pPr>
        <w:jc w:val="both"/>
        <w:rPr>
          <w:rFonts w:eastAsia="Times New Roman"/>
          <w:noProof/>
          <w:lang w:val="en-GB" w:eastAsia="en-GB"/>
        </w:rPr>
      </w:pPr>
      <w:r>
        <w:rPr>
          <w:lang w:val="en-GB" w:eastAsia="ja-JP"/>
        </w:rPr>
        <w:t xml:space="preserve">The general assumption in 38.133 test parameters is </w:t>
      </w:r>
      <w:r w:rsidRPr="001E1B19">
        <w:rPr>
          <w:rFonts w:eastAsia="Times New Roman"/>
          <w:noProof/>
          <w:lang w:val="en-GB" w:eastAsia="en-GB"/>
        </w:rPr>
        <w:t>T</w:t>
      </w:r>
      <w:r w:rsidRPr="001E1B19">
        <w:rPr>
          <w:rFonts w:eastAsia="Times New Roman"/>
          <w:noProof/>
          <w:vertAlign w:val="subscript"/>
          <w:lang w:val="en-GB" w:eastAsia="en-GB"/>
        </w:rPr>
        <w:t>IU</w:t>
      </w:r>
      <w:r w:rsidRPr="001E1B19">
        <w:rPr>
          <w:rFonts w:eastAsia="Times New Roman"/>
          <w:noProof/>
          <w:lang w:val="en-GB" w:eastAsia="en-GB"/>
        </w:rPr>
        <w:t xml:space="preserve"> </w:t>
      </w:r>
      <w:r>
        <w:rPr>
          <w:rFonts w:eastAsia="Times New Roman"/>
          <w:noProof/>
          <w:lang w:val="en-GB" w:eastAsia="en-GB"/>
        </w:rPr>
        <w:t>=</w:t>
      </w:r>
      <w:r w:rsidRPr="001E1B19">
        <w:rPr>
          <w:rFonts w:eastAsia="Times New Roman"/>
          <w:noProof/>
          <w:lang w:val="en-GB" w:eastAsia="en-GB"/>
        </w:rPr>
        <w:t xml:space="preserve"> T</w:t>
      </w:r>
      <w:r w:rsidRPr="001E1B19">
        <w:rPr>
          <w:rFonts w:eastAsia="Times New Roman"/>
          <w:noProof/>
          <w:vertAlign w:val="subscript"/>
          <w:lang w:val="en-GB" w:eastAsia="zh-CN"/>
        </w:rPr>
        <w:t>processing</w:t>
      </w:r>
      <w:r w:rsidRPr="001E1B19" w:rsidDel="001D62E5">
        <w:rPr>
          <w:rFonts w:eastAsia="Times New Roman"/>
          <w:noProof/>
          <w:lang w:val="en-GB" w:eastAsia="zh-CN"/>
        </w:rPr>
        <w:t xml:space="preserve"> </w:t>
      </w:r>
      <w:r>
        <w:rPr>
          <w:rFonts w:eastAsia="Times New Roman"/>
          <w:noProof/>
          <w:vertAlign w:val="subscript"/>
          <w:lang w:val="en-GB" w:eastAsia="zh-CN"/>
        </w:rPr>
        <w:t>=</w:t>
      </w:r>
      <w:r w:rsidRPr="001E1B19">
        <w:rPr>
          <w:rFonts w:eastAsia="Times New Roman"/>
          <w:noProof/>
          <w:lang w:val="en-GB" w:eastAsia="zh-CN"/>
        </w:rPr>
        <w:t xml:space="preserve"> </w:t>
      </w:r>
      <w:r w:rsidRPr="001E1B19">
        <w:rPr>
          <w:rFonts w:eastAsia="Times New Roman"/>
          <w:noProof/>
          <w:highlight w:val="green"/>
          <w:lang w:val="en-GB" w:eastAsia="zh-CN"/>
        </w:rPr>
        <w:t>T</w:t>
      </w:r>
      <w:r w:rsidRPr="001E1B19">
        <w:rPr>
          <w:rFonts w:eastAsia="Times New Roman"/>
          <w:noProof/>
          <w:highlight w:val="green"/>
          <w:vertAlign w:val="subscript"/>
          <w:lang w:val="en-GB" w:eastAsia="zh-CN"/>
        </w:rPr>
        <w:t>∆</w:t>
      </w:r>
      <w:r w:rsidRPr="001E1B19">
        <w:rPr>
          <w:rFonts w:eastAsia="Times New Roman"/>
          <w:noProof/>
          <w:lang w:val="en-GB" w:eastAsia="zh-CN"/>
        </w:rPr>
        <w:t xml:space="preserve"> </w:t>
      </w:r>
      <w:r>
        <w:rPr>
          <w:rFonts w:eastAsia="Times New Roman"/>
          <w:noProof/>
          <w:lang w:val="en-GB" w:eastAsia="zh-CN"/>
        </w:rPr>
        <w:t>= 20ms, and</w:t>
      </w:r>
      <w:r w:rsidRPr="001E1B19">
        <w:rPr>
          <w:rFonts w:eastAsia="Times New Roman"/>
          <w:noProof/>
          <w:lang w:val="en-GB" w:eastAsia="zh-CN"/>
        </w:rPr>
        <w:t xml:space="preserve"> T</w:t>
      </w:r>
      <w:r w:rsidRPr="001E1B19">
        <w:rPr>
          <w:rFonts w:eastAsia="Times New Roman"/>
          <w:noProof/>
          <w:vertAlign w:val="subscript"/>
          <w:lang w:val="en-GB" w:eastAsia="zh-CN"/>
        </w:rPr>
        <w:t xml:space="preserve">margin </w:t>
      </w:r>
      <w:r>
        <w:rPr>
          <w:rFonts w:eastAsia="Times New Roman"/>
          <w:noProof/>
          <w:lang w:val="en-GB" w:eastAsia="en-GB"/>
        </w:rPr>
        <w:t>= 2ms</w:t>
      </w:r>
      <w:r w:rsidR="00BA0EA1">
        <w:rPr>
          <w:rFonts w:eastAsia="Times New Roman"/>
          <w:noProof/>
          <w:lang w:val="en-GB" w:eastAsia="en-GB"/>
        </w:rPr>
        <w:t xml:space="preserve">, resulting in </w:t>
      </w:r>
      <w:r w:rsidR="00BA0EA1" w:rsidRPr="001E1B19">
        <w:rPr>
          <w:rFonts w:eastAsia="Times New Roman" w:cs="v4.2.0"/>
          <w:noProof/>
          <w:color w:val="FFFF00"/>
          <w:highlight w:val="blue"/>
          <w:lang w:val="en-GB" w:eastAsia="en-GB"/>
        </w:rPr>
        <w:t>T</w:t>
      </w:r>
      <w:r w:rsidR="00BA0EA1" w:rsidRPr="001E1B19">
        <w:rPr>
          <w:rFonts w:eastAsia="Times New Roman" w:cs="v4.2.0"/>
          <w:noProof/>
          <w:color w:val="FFFF00"/>
          <w:highlight w:val="blue"/>
          <w:vertAlign w:val="subscript"/>
          <w:lang w:val="en-GB" w:eastAsia="en-GB"/>
        </w:rPr>
        <w:t>interrupt</w:t>
      </w:r>
      <w:r w:rsidR="00BA0EA1">
        <w:rPr>
          <w:rFonts w:eastAsia="Times New Roman"/>
          <w:noProof/>
          <w:lang w:val="en-GB" w:eastAsia="en-GB"/>
        </w:rPr>
        <w:t xml:space="preserve"> = 62ms.</w:t>
      </w:r>
    </w:p>
    <w:p w14:paraId="2B212EF1" w14:textId="558B4C68" w:rsidR="00B02D77" w:rsidRDefault="00E35038" w:rsidP="008F74C4">
      <w:pPr>
        <w:jc w:val="both"/>
        <w:rPr>
          <w:rFonts w:eastAsia="Times New Roman"/>
          <w:lang w:val="en-GB" w:eastAsia="en-GB"/>
        </w:rPr>
      </w:pPr>
      <w:r>
        <w:rPr>
          <w:rFonts w:eastAsia="Times New Roman"/>
          <w:noProof/>
          <w:lang w:val="en-GB" w:eastAsia="en-GB"/>
        </w:rPr>
        <w:t xml:space="preserve">We believe PCI unchanged solution might remove </w:t>
      </w:r>
      <w:r w:rsidRPr="001E1B19">
        <w:rPr>
          <w:rFonts w:eastAsia="Times New Roman"/>
          <w:noProof/>
          <w:lang w:val="en-GB" w:eastAsia="en-GB"/>
        </w:rPr>
        <w:t>T</w:t>
      </w:r>
      <w:r w:rsidRPr="001E1B19">
        <w:rPr>
          <w:rFonts w:eastAsia="Times New Roman"/>
          <w:noProof/>
          <w:vertAlign w:val="subscript"/>
          <w:lang w:val="en-GB" w:eastAsia="zh-CN"/>
        </w:rPr>
        <w:t>processing</w:t>
      </w:r>
      <w:r>
        <w:rPr>
          <w:rFonts w:eastAsia="Times New Roman"/>
          <w:noProof/>
          <w:lang w:val="en-GB" w:eastAsia="en-GB"/>
        </w:rPr>
        <w:t xml:space="preserve"> but would add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Pr>
          <w:rFonts w:eastAsia="Times New Roman"/>
          <w:noProof/>
          <w:lang w:val="en-GB" w:eastAsia="en-GB"/>
        </w:rPr>
        <w:t xml:space="preserve"> (in case of </w:t>
      </w:r>
      <w:r w:rsidRPr="000474AA">
        <w:rPr>
          <w:lang w:val="en-GB"/>
        </w:rPr>
        <w:t>hard satellite switch</w:t>
      </w:r>
      <w:r>
        <w:rPr>
          <w:lang w:val="en-GB"/>
        </w:rPr>
        <w:t xml:space="preserve">, which is the scheme currently considered by RAN2). Keeping similar assumptions as in 38.133,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 </w:t>
      </w:r>
      <w:proofErr w:type="spellStart"/>
      <w:r w:rsidRPr="00B02D77">
        <w:rPr>
          <w:rFonts w:eastAsia="Times New Roman"/>
          <w:highlight w:val="red"/>
          <w:lang w:val="en-GB" w:eastAsia="en-GB"/>
        </w:rPr>
        <w:t>T</w:t>
      </w:r>
      <w:r w:rsidRPr="00B02D77">
        <w:rPr>
          <w:rFonts w:eastAsia="Times New Roman"/>
          <w:highlight w:val="red"/>
          <w:vertAlign w:val="subscript"/>
          <w:lang w:val="en-GB" w:eastAsia="en-GB"/>
        </w:rPr>
        <w:t>rs</w:t>
      </w:r>
      <w:proofErr w:type="spellEnd"/>
      <w:r w:rsidRPr="00B02D77">
        <w:rPr>
          <w:rFonts w:eastAsia="Times New Roman"/>
          <w:lang w:val="en-GB" w:eastAsia="en-GB"/>
        </w:rPr>
        <w:t xml:space="preserve"> </w:t>
      </w:r>
      <w:r>
        <w:rPr>
          <w:rFonts w:eastAsia="Times New Roman"/>
          <w:lang w:val="en-GB" w:eastAsia="en-GB"/>
        </w:rPr>
        <w:t xml:space="preserve">= 20 </w:t>
      </w:r>
      <w:proofErr w:type="spellStart"/>
      <w:r w:rsidRPr="00B02D77">
        <w:rPr>
          <w:rFonts w:eastAsia="Times New Roman"/>
          <w:lang w:val="en-GB" w:eastAsia="en-GB"/>
        </w:rPr>
        <w:t>ms</w:t>
      </w:r>
      <w:proofErr w:type="spellEnd"/>
      <w:r>
        <w:rPr>
          <w:rFonts w:eastAsia="Times New Roman"/>
          <w:lang w:val="en-GB" w:eastAsia="en-GB"/>
        </w:rPr>
        <w:t xml:space="preserve">, </w:t>
      </w:r>
      <w:r w:rsidR="00381A1A">
        <w:rPr>
          <w:rFonts w:eastAsia="Times New Roman"/>
          <w:lang w:val="en-GB" w:eastAsia="en-GB"/>
        </w:rPr>
        <w:t>so</w:t>
      </w:r>
      <w:r>
        <w:rPr>
          <w:rFonts w:eastAsia="Times New Roman"/>
          <w:lang w:val="en-GB" w:eastAsia="en-GB"/>
        </w:rPr>
        <w:t xml:space="preserve"> there </w:t>
      </w:r>
      <w:r w:rsidR="00381A1A">
        <w:rPr>
          <w:rFonts w:eastAsia="Times New Roman"/>
          <w:lang w:val="en-GB" w:eastAsia="en-GB"/>
        </w:rPr>
        <w:t>would be</w:t>
      </w:r>
      <w:r>
        <w:rPr>
          <w:rFonts w:eastAsia="Times New Roman"/>
          <w:lang w:val="en-GB" w:eastAsia="en-GB"/>
        </w:rPr>
        <w:t xml:space="preserve"> no change in the interruption time compared to existing scheme.</w:t>
      </w:r>
    </w:p>
    <w:p w14:paraId="35D54703" w14:textId="7583024C" w:rsidR="00E35038" w:rsidRDefault="00E35038" w:rsidP="00E35038">
      <w:pPr>
        <w:pStyle w:val="Heading7"/>
      </w:pPr>
      <w:bookmarkStart w:id="2" w:name="_Ref131780068"/>
      <w:r>
        <w:t>Observation 1</w:t>
      </w:r>
      <w:r w:rsidRPr="00AA0D4F">
        <w:rPr>
          <w:rFonts w:hint="eastAsia"/>
        </w:rPr>
        <w:t xml:space="preserve">: </w:t>
      </w:r>
      <w:r>
        <w:t>“</w:t>
      </w:r>
      <w:r w:rsidRPr="003E1144">
        <w:t>Reusing PCI after satellite changes</w:t>
      </w:r>
      <w:r>
        <w:t>” does not improve interruption time</w:t>
      </w:r>
      <w:bookmarkEnd w:id="2"/>
    </w:p>
    <w:p w14:paraId="671E29CE" w14:textId="477D5BAD" w:rsidR="00E35038" w:rsidRPr="00E35038" w:rsidRDefault="00E35038" w:rsidP="008F74C4">
      <w:pPr>
        <w:jc w:val="both"/>
        <w:rPr>
          <w:lang w:eastAsia="ja-JP"/>
        </w:rPr>
      </w:pPr>
    </w:p>
    <w:p w14:paraId="2CA19F7A" w14:textId="67D0F52E" w:rsidR="001E1B19" w:rsidRDefault="001E1B19" w:rsidP="0088795B">
      <w:pPr>
        <w:pStyle w:val="Heading2"/>
        <w:rPr>
          <w:lang w:eastAsia="ja-JP"/>
        </w:rPr>
      </w:pPr>
      <w:r>
        <w:rPr>
          <w:lang w:eastAsia="ja-JP"/>
        </w:rPr>
        <w:t>Impact on Rel-17 UEs</w:t>
      </w:r>
    </w:p>
    <w:p w14:paraId="5128751D" w14:textId="6FF78CC8" w:rsidR="004E00E0" w:rsidRPr="004E00E0" w:rsidRDefault="004E00E0" w:rsidP="008F74C4">
      <w:pPr>
        <w:jc w:val="both"/>
        <w:rPr>
          <w:u w:val="single"/>
          <w:lang w:val="en-GB" w:eastAsia="ja-JP"/>
        </w:rPr>
      </w:pPr>
      <w:r w:rsidRPr="004E00E0">
        <w:rPr>
          <w:u w:val="single"/>
          <w:lang w:val="en-GB" w:eastAsia="ja-JP"/>
        </w:rPr>
        <w:t>Interruption time</w:t>
      </w:r>
    </w:p>
    <w:p w14:paraId="770D1AE4" w14:textId="5B7AB29E" w:rsidR="00A14DD4" w:rsidRDefault="00A14DD4" w:rsidP="008F74C4">
      <w:pPr>
        <w:jc w:val="both"/>
        <w:rPr>
          <w:lang w:val="en-GB" w:eastAsia="ja-JP"/>
        </w:rPr>
      </w:pPr>
      <w:r>
        <w:rPr>
          <w:lang w:val="en-GB" w:eastAsia="ja-JP"/>
        </w:rPr>
        <w:t xml:space="preserve">The Rel-17 main mechanism for mobility mostly relies on soft switch, with a temporary overlap between source and target cells. </w:t>
      </w:r>
      <w:r w:rsidR="00BA0EA1">
        <w:rPr>
          <w:lang w:val="en-GB" w:eastAsia="ja-JP"/>
        </w:rPr>
        <w:t xml:space="preserve">That enables synchronization of the target cell in advance, reducing the interruption time. </w:t>
      </w:r>
      <w:r>
        <w:rPr>
          <w:lang w:val="en-GB" w:eastAsia="ja-JP"/>
        </w:rPr>
        <w:t>If hard switch is required, Rel-17 UEs deployed on such Rel-18 “reusing PCI” network would suffer impact on handover interruption.</w:t>
      </w:r>
    </w:p>
    <w:p w14:paraId="7DE3FE46" w14:textId="2C6A0CE7" w:rsidR="00A14DD4" w:rsidRDefault="00BA0EA1" w:rsidP="008F74C4">
      <w:pPr>
        <w:jc w:val="both"/>
        <w:rPr>
          <w:lang w:val="en-GB" w:eastAsia="ja-JP"/>
        </w:rPr>
      </w:pPr>
      <w:r>
        <w:rPr>
          <w:lang w:val="en-GB" w:eastAsia="ja-JP"/>
        </w:rPr>
        <w:t>More specifically, taking existing assumptions in 38.133:</w:t>
      </w:r>
    </w:p>
    <w:p w14:paraId="48209BBA" w14:textId="77777777" w:rsidR="00BA0EA1" w:rsidRPr="001E1B19" w:rsidRDefault="00BA0EA1" w:rsidP="00BA0EA1">
      <w:pPr>
        <w:keepLines/>
        <w:tabs>
          <w:tab w:val="center" w:pos="4536"/>
          <w:tab w:val="right" w:pos="9072"/>
        </w:tabs>
        <w:overflowPunct w:val="0"/>
        <w:autoSpaceDE w:val="0"/>
        <w:autoSpaceDN w:val="0"/>
        <w:adjustRightInd w:val="0"/>
        <w:textAlignment w:val="baseline"/>
        <w:rPr>
          <w:rFonts w:eastAsia="Times New Roman"/>
          <w:noProof/>
          <w:lang w:val="en-GB" w:eastAsia="en-GB"/>
        </w:rPr>
      </w:pPr>
      <w:r w:rsidRPr="001E1B19">
        <w:rPr>
          <w:rFonts w:eastAsia="Times New Roman"/>
          <w:noProof/>
          <w:lang w:val="en-GB" w:eastAsia="en-GB"/>
        </w:rPr>
        <w:tab/>
      </w:r>
      <w:r w:rsidRPr="001E1B19">
        <w:rPr>
          <w:rFonts w:eastAsia="Times New Roman" w:cs="v4.2.0"/>
          <w:noProof/>
          <w:color w:val="FFFF00"/>
          <w:highlight w:val="blue"/>
          <w:lang w:val="en-GB" w:eastAsia="en-GB"/>
        </w:rPr>
        <w:t>T</w:t>
      </w:r>
      <w:r w:rsidRPr="001E1B19">
        <w:rPr>
          <w:rFonts w:eastAsia="Times New Roman" w:cs="v4.2.0"/>
          <w:noProof/>
          <w:color w:val="FFFF00"/>
          <w:highlight w:val="blue"/>
          <w:vertAlign w:val="subscript"/>
          <w:lang w:val="en-GB" w:eastAsia="en-GB"/>
        </w:rPr>
        <w:t>interrupt</w:t>
      </w:r>
      <w:r w:rsidRPr="001E1B19">
        <w:rPr>
          <w:rFonts w:eastAsia="Times New Roman"/>
          <w:noProof/>
          <w:lang w:val="en-GB" w:eastAsia="en-GB"/>
        </w:rPr>
        <w:t xml:space="preserve"> = T</w:t>
      </w:r>
      <w:r w:rsidRPr="001E1B19">
        <w:rPr>
          <w:rFonts w:eastAsia="Times New Roman"/>
          <w:noProof/>
          <w:vertAlign w:val="subscript"/>
          <w:lang w:val="en-GB" w:eastAsia="en-GB"/>
        </w:rPr>
        <w:t>search</w:t>
      </w:r>
      <w:r w:rsidRPr="001E1B19">
        <w:rPr>
          <w:rFonts w:eastAsia="Times New Roman"/>
          <w:noProof/>
          <w:lang w:val="en-GB" w:eastAsia="en-GB"/>
        </w:rPr>
        <w:t xml:space="preserve"> + T</w:t>
      </w:r>
      <w:r w:rsidRPr="001E1B19">
        <w:rPr>
          <w:rFonts w:eastAsia="Times New Roman"/>
          <w:noProof/>
          <w:vertAlign w:val="subscript"/>
          <w:lang w:val="en-GB" w:eastAsia="en-GB"/>
        </w:rPr>
        <w:t>IU</w:t>
      </w:r>
      <w:r w:rsidRPr="001E1B19">
        <w:rPr>
          <w:rFonts w:eastAsia="Times New Roman"/>
          <w:noProof/>
          <w:lang w:val="en-GB" w:eastAsia="en-GB"/>
        </w:rPr>
        <w:t xml:space="preserve"> + T</w:t>
      </w:r>
      <w:r w:rsidRPr="001E1B19">
        <w:rPr>
          <w:rFonts w:eastAsia="Times New Roman"/>
          <w:noProof/>
          <w:vertAlign w:val="subscript"/>
          <w:lang w:val="en-GB" w:eastAsia="zh-CN"/>
        </w:rPr>
        <w:t>processing</w:t>
      </w:r>
      <w:r w:rsidRPr="001E1B19" w:rsidDel="001D62E5">
        <w:rPr>
          <w:rFonts w:eastAsia="Times New Roman"/>
          <w:noProof/>
          <w:lang w:val="en-GB" w:eastAsia="zh-CN"/>
        </w:rPr>
        <w:t xml:space="preserve"> </w:t>
      </w:r>
      <w:r w:rsidRPr="001E1B19">
        <w:rPr>
          <w:rFonts w:eastAsia="Times New Roman"/>
          <w:noProof/>
          <w:vertAlign w:val="subscript"/>
          <w:lang w:val="en-GB" w:eastAsia="zh-CN"/>
        </w:rPr>
        <w:t xml:space="preserve"> </w:t>
      </w:r>
      <w:r w:rsidRPr="001E1B19">
        <w:rPr>
          <w:rFonts w:eastAsia="Times New Roman"/>
          <w:noProof/>
          <w:lang w:val="en-GB" w:eastAsia="zh-CN"/>
        </w:rPr>
        <w:t xml:space="preserve">+ </w:t>
      </w:r>
      <w:r w:rsidRPr="001E1B19">
        <w:rPr>
          <w:rFonts w:eastAsia="Times New Roman"/>
          <w:noProof/>
          <w:highlight w:val="green"/>
          <w:lang w:val="en-GB" w:eastAsia="zh-CN"/>
        </w:rPr>
        <w:t>T</w:t>
      </w:r>
      <w:r w:rsidRPr="001E1B19">
        <w:rPr>
          <w:rFonts w:eastAsia="Times New Roman"/>
          <w:noProof/>
          <w:highlight w:val="green"/>
          <w:vertAlign w:val="subscript"/>
          <w:lang w:val="en-GB" w:eastAsia="zh-CN"/>
        </w:rPr>
        <w:t>∆</w:t>
      </w:r>
      <w:r w:rsidRPr="001E1B19">
        <w:rPr>
          <w:rFonts w:eastAsia="Times New Roman"/>
          <w:noProof/>
          <w:lang w:val="en-GB" w:eastAsia="zh-CN"/>
        </w:rPr>
        <w:t xml:space="preserve"> + T</w:t>
      </w:r>
      <w:r w:rsidRPr="001E1B19">
        <w:rPr>
          <w:rFonts w:eastAsia="Times New Roman"/>
          <w:noProof/>
          <w:vertAlign w:val="subscript"/>
          <w:lang w:val="en-GB" w:eastAsia="zh-CN"/>
        </w:rPr>
        <w:t xml:space="preserve">margin </w:t>
      </w:r>
      <w:r w:rsidRPr="001E1B19">
        <w:rPr>
          <w:rFonts w:eastAsia="Times New Roman"/>
          <w:noProof/>
          <w:lang w:val="en-GB" w:eastAsia="en-GB"/>
        </w:rPr>
        <w:t>ms</w:t>
      </w:r>
    </w:p>
    <w:p w14:paraId="7B7DD52D" w14:textId="0E0384B2" w:rsidR="00BA0EA1" w:rsidRDefault="00BA0EA1" w:rsidP="008F74C4">
      <w:pPr>
        <w:jc w:val="both"/>
        <w:rPr>
          <w:lang w:val="en-GB" w:eastAsia="ja-JP"/>
        </w:rPr>
      </w:pPr>
      <w:r>
        <w:rPr>
          <w:lang w:val="en-GB" w:eastAsia="ja-JP"/>
        </w:rPr>
        <w:t xml:space="preserve">So far </w:t>
      </w:r>
      <w:r w:rsidRPr="001E1B19">
        <w:rPr>
          <w:rFonts w:eastAsia="Times New Roman" w:cs="v4.2.0"/>
          <w:noProof/>
          <w:color w:val="FFFF00"/>
          <w:highlight w:val="blue"/>
          <w:lang w:val="en-GB" w:eastAsia="en-GB"/>
        </w:rPr>
        <w:t>T</w:t>
      </w:r>
      <w:r w:rsidRPr="001E1B19">
        <w:rPr>
          <w:rFonts w:eastAsia="Times New Roman" w:cs="v4.2.0"/>
          <w:noProof/>
          <w:color w:val="FFFF00"/>
          <w:highlight w:val="blue"/>
          <w:vertAlign w:val="subscript"/>
          <w:lang w:val="en-GB" w:eastAsia="en-GB"/>
        </w:rPr>
        <w:t>interrupt</w:t>
      </w:r>
      <w:r>
        <w:rPr>
          <w:rFonts w:eastAsia="Times New Roman"/>
          <w:noProof/>
          <w:lang w:val="en-GB" w:eastAsia="en-GB"/>
        </w:rPr>
        <w:t xml:space="preserve"> = 62ms, as described above.</w:t>
      </w:r>
      <w:r>
        <w:rPr>
          <w:lang w:val="en-GB" w:eastAsia="ja-JP"/>
        </w:rPr>
        <w:t xml:space="preserve"> Rel-17 UEs would have an additional penalty of </w:t>
      </w:r>
      <w:r w:rsidRPr="001E1B19">
        <w:rPr>
          <w:rFonts w:eastAsia="Times New Roman"/>
          <w:noProof/>
          <w:lang w:val="en-GB" w:eastAsia="en-GB"/>
        </w:rPr>
        <w:t>T</w:t>
      </w:r>
      <w:r w:rsidRPr="001E1B19">
        <w:rPr>
          <w:rFonts w:eastAsia="Times New Roman"/>
          <w:noProof/>
          <w:vertAlign w:val="subscript"/>
          <w:lang w:val="en-GB" w:eastAsia="en-GB"/>
        </w:rPr>
        <w:t>search</w:t>
      </w:r>
      <w:r>
        <w:rPr>
          <w:lang w:val="en-GB" w:eastAsia="ja-JP"/>
        </w:rPr>
        <w:t xml:space="preserve"> = 20ms, within the benefit of </w:t>
      </w:r>
      <w:r w:rsidR="00093A11">
        <w:rPr>
          <w:lang w:val="en-GB" w:eastAsia="ja-JP"/>
        </w:rPr>
        <w:t xml:space="preserve">removing </w:t>
      </w:r>
      <w:r w:rsidR="00093A11" w:rsidRPr="001E1B19">
        <w:rPr>
          <w:rFonts w:eastAsia="Times New Roman"/>
          <w:noProof/>
          <w:lang w:val="en-GB" w:eastAsia="en-GB"/>
        </w:rPr>
        <w:t>T</w:t>
      </w:r>
      <w:r w:rsidR="00093A11" w:rsidRPr="001E1B19">
        <w:rPr>
          <w:rFonts w:eastAsia="Times New Roman"/>
          <w:noProof/>
          <w:vertAlign w:val="subscript"/>
          <w:lang w:val="en-GB" w:eastAsia="zh-CN"/>
        </w:rPr>
        <w:t>processing</w:t>
      </w:r>
      <w:r w:rsidR="00093A11">
        <w:rPr>
          <w:lang w:val="en-GB" w:eastAsia="ja-JP"/>
        </w:rPr>
        <w:t xml:space="preserve">, leading to </w:t>
      </w:r>
      <w:r w:rsidR="00093A11" w:rsidRPr="001E1B19">
        <w:rPr>
          <w:rFonts w:eastAsia="Times New Roman" w:cs="v4.2.0"/>
          <w:noProof/>
          <w:color w:val="FFFF00"/>
          <w:highlight w:val="blue"/>
          <w:lang w:val="en-GB" w:eastAsia="en-GB"/>
        </w:rPr>
        <w:t>T</w:t>
      </w:r>
      <w:r w:rsidR="00093A11" w:rsidRPr="001E1B19">
        <w:rPr>
          <w:rFonts w:eastAsia="Times New Roman" w:cs="v4.2.0"/>
          <w:noProof/>
          <w:color w:val="FFFF00"/>
          <w:highlight w:val="blue"/>
          <w:vertAlign w:val="subscript"/>
          <w:lang w:val="en-GB" w:eastAsia="en-GB"/>
        </w:rPr>
        <w:t>interrupt</w:t>
      </w:r>
      <w:r w:rsidR="00093A11">
        <w:rPr>
          <w:rFonts w:eastAsia="Times New Roman"/>
          <w:noProof/>
          <w:lang w:val="en-GB" w:eastAsia="en-GB"/>
        </w:rPr>
        <w:t xml:space="preserve"> = 82ms</w:t>
      </w:r>
      <w:r w:rsidR="00093A11">
        <w:rPr>
          <w:lang w:val="en-GB" w:eastAsia="ja-JP"/>
        </w:rPr>
        <w:t xml:space="preserve"> compared to existing approach. </w:t>
      </w:r>
    </w:p>
    <w:p w14:paraId="67E7A2F4" w14:textId="5857B78A" w:rsidR="00026149" w:rsidRDefault="00026149" w:rsidP="00026149">
      <w:pPr>
        <w:pStyle w:val="Heading7"/>
      </w:pPr>
      <w:bookmarkStart w:id="3" w:name="_Ref131780073"/>
      <w:r>
        <w:t>Observation 2</w:t>
      </w:r>
      <w:r w:rsidRPr="00AA0D4F">
        <w:rPr>
          <w:rFonts w:hint="eastAsia"/>
        </w:rPr>
        <w:t xml:space="preserve">: </w:t>
      </w:r>
      <w:r>
        <w:t>“</w:t>
      </w:r>
      <w:r w:rsidRPr="003E1144">
        <w:t>Reusing PCI after satellite changes</w:t>
      </w:r>
      <w:r>
        <w:t>” increase</w:t>
      </w:r>
      <w:r w:rsidR="00C940AB">
        <w:t>s</w:t>
      </w:r>
      <w:r>
        <w:t xml:space="preserve"> interruption time for Rel-17 UEs</w:t>
      </w:r>
      <w:bookmarkEnd w:id="3"/>
    </w:p>
    <w:p w14:paraId="56CAD678" w14:textId="77777777" w:rsidR="004E00E0" w:rsidRDefault="004E00E0" w:rsidP="008F74C4">
      <w:pPr>
        <w:jc w:val="both"/>
        <w:rPr>
          <w:u w:val="single"/>
          <w:lang w:val="en-GB" w:eastAsia="ja-JP"/>
        </w:rPr>
      </w:pPr>
    </w:p>
    <w:p w14:paraId="380661ED" w14:textId="3B0F58B4" w:rsidR="00026149" w:rsidRPr="004E00E0" w:rsidRDefault="004E00E0" w:rsidP="008F74C4">
      <w:pPr>
        <w:jc w:val="both"/>
        <w:rPr>
          <w:u w:val="single"/>
          <w:lang w:val="en-GB" w:eastAsia="ja-JP"/>
        </w:rPr>
      </w:pPr>
      <w:r w:rsidRPr="004E00E0">
        <w:rPr>
          <w:u w:val="single"/>
          <w:lang w:val="en-GB" w:eastAsia="ja-JP"/>
        </w:rPr>
        <w:t>Target cell synchronization</w:t>
      </w:r>
    </w:p>
    <w:p w14:paraId="66D515E9" w14:textId="77777777" w:rsidR="004E00E0" w:rsidRDefault="00224829" w:rsidP="008F74C4">
      <w:pPr>
        <w:jc w:val="both"/>
        <w:rPr>
          <w:lang w:val="en-GB" w:eastAsia="ja-JP"/>
        </w:rPr>
      </w:pPr>
      <w:r>
        <w:rPr>
          <w:lang w:val="en-GB" w:eastAsia="ja-JP"/>
        </w:rPr>
        <w:lastRenderedPageBreak/>
        <w:t xml:space="preserve">Another </w:t>
      </w:r>
      <w:r w:rsidR="00026149">
        <w:rPr>
          <w:lang w:val="en-GB" w:eastAsia="ja-JP"/>
        </w:rPr>
        <w:t xml:space="preserve">possible concern is </w:t>
      </w:r>
      <w:r w:rsidR="004E00E0">
        <w:rPr>
          <w:lang w:val="en-GB" w:eastAsia="ja-JP"/>
        </w:rPr>
        <w:t xml:space="preserve">the behaviour of such legacy UEs in case of same cell handover. </w:t>
      </w:r>
    </w:p>
    <w:p w14:paraId="0614045F" w14:textId="3A8A4DBD" w:rsidR="00A14DD4" w:rsidRDefault="004E00E0" w:rsidP="008F74C4">
      <w:pPr>
        <w:jc w:val="both"/>
        <w:rPr>
          <w:lang w:val="en-GB" w:eastAsia="ja-JP"/>
        </w:rPr>
      </w:pPr>
      <w:r>
        <w:rPr>
          <w:lang w:val="en-GB" w:eastAsia="ja-JP"/>
        </w:rPr>
        <w:t>From 38.331, in case of handover (</w:t>
      </w:r>
      <w:r w:rsidRPr="004E00E0">
        <w:rPr>
          <w:lang w:val="en-GB" w:eastAsia="ja-JP"/>
        </w:rPr>
        <w:t>Reconfiguration with sync</w:t>
      </w:r>
      <w:r>
        <w:rPr>
          <w:lang w:val="en-GB" w:eastAsia="ja-JP"/>
        </w:rPr>
        <w:t>) the UE is supposed to perform synchronization:</w:t>
      </w:r>
    </w:p>
    <w:p w14:paraId="3BFCED12" w14:textId="6FFE6781" w:rsidR="004E00E0" w:rsidRPr="004E00E0" w:rsidRDefault="004E00E0" w:rsidP="004E00E0">
      <w:pPr>
        <w:ind w:left="284" w:firstLine="284"/>
        <w:jc w:val="both"/>
        <w:rPr>
          <w:lang w:eastAsia="ja-JP"/>
        </w:rPr>
      </w:pPr>
      <w:r>
        <w:rPr>
          <w:lang w:eastAsia="ja-JP"/>
        </w:rPr>
        <w:t xml:space="preserve">2&gt; start </w:t>
      </w:r>
      <w:proofErr w:type="spellStart"/>
      <w:r>
        <w:rPr>
          <w:lang w:eastAsia="ja-JP"/>
        </w:rPr>
        <w:t>synchronising</w:t>
      </w:r>
      <w:proofErr w:type="spellEnd"/>
      <w:r>
        <w:rPr>
          <w:lang w:eastAsia="ja-JP"/>
        </w:rPr>
        <w:t xml:space="preserve"> to the DL of the target SpCell;</w:t>
      </w:r>
    </w:p>
    <w:p w14:paraId="30876062" w14:textId="7F92CF0F" w:rsidR="004E00E0" w:rsidRDefault="004E00E0" w:rsidP="008F74C4">
      <w:pPr>
        <w:jc w:val="both"/>
        <w:rPr>
          <w:lang w:val="en-GB" w:eastAsia="ja-JP"/>
        </w:rPr>
      </w:pPr>
      <w:r>
        <w:rPr>
          <w:lang w:val="en-GB" w:eastAsia="ja-JP"/>
        </w:rPr>
        <w:t xml:space="preserve">However, in general, the target cell of a handover was already synchronized/measured/reported to the NW (as a neighbour cell). The UE would not start a DL cell synchronization from scratch – this is the whole reason why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Pr>
          <w:lang w:val="en-GB" w:eastAsia="ja-JP"/>
        </w:rPr>
        <w:t xml:space="preserve"> in above calculations can be set to 0.</w:t>
      </w:r>
    </w:p>
    <w:p w14:paraId="2954CEB9" w14:textId="77777777" w:rsidR="008544D7" w:rsidRDefault="008544D7" w:rsidP="008F74C4">
      <w:pPr>
        <w:jc w:val="both"/>
        <w:rPr>
          <w:lang w:val="en-GB" w:eastAsia="ja-JP"/>
        </w:rPr>
      </w:pPr>
      <w:r>
        <w:rPr>
          <w:lang w:val="en-GB" w:eastAsia="ja-JP"/>
        </w:rPr>
        <w:t>In Rel-17, t</w:t>
      </w:r>
      <w:r w:rsidR="004E00E0">
        <w:rPr>
          <w:lang w:val="en-GB" w:eastAsia="ja-JP"/>
        </w:rPr>
        <w:t>he hard service link switch scenario</w:t>
      </w:r>
      <w:r>
        <w:rPr>
          <w:lang w:val="en-GB" w:eastAsia="ja-JP"/>
        </w:rPr>
        <w:t xml:space="preserve"> would use a</w:t>
      </w:r>
      <w:r w:rsidR="004E00E0">
        <w:rPr>
          <w:lang w:val="en-GB" w:eastAsia="ja-JP"/>
        </w:rPr>
        <w:t xml:space="preserve"> handover </w:t>
      </w:r>
      <w:r>
        <w:rPr>
          <w:lang w:val="en-GB" w:eastAsia="ja-JP"/>
        </w:rPr>
        <w:t xml:space="preserve">(reconfiguration with sync) </w:t>
      </w:r>
      <w:r w:rsidR="004E00E0">
        <w:rPr>
          <w:lang w:val="en-GB" w:eastAsia="ja-JP"/>
        </w:rPr>
        <w:t>with different PCI</w:t>
      </w:r>
      <w:r>
        <w:rPr>
          <w:lang w:val="en-GB" w:eastAsia="ja-JP"/>
        </w:rPr>
        <w:t xml:space="preserve">. The target cell is unknown and would be synchronized from scratch by the UE. </w:t>
      </w:r>
    </w:p>
    <w:p w14:paraId="230E30AC" w14:textId="77777777" w:rsidR="008679BE" w:rsidRDefault="008544D7" w:rsidP="008F74C4">
      <w:pPr>
        <w:jc w:val="both"/>
        <w:rPr>
          <w:lang w:val="en-GB" w:eastAsia="ja-JP"/>
        </w:rPr>
      </w:pPr>
      <w:r>
        <w:rPr>
          <w:lang w:val="en-GB" w:eastAsia="ja-JP"/>
        </w:rPr>
        <w:t>On such Rel-18 “reusing PCI” network, the hard service link switch scenario would use a handover (reconfiguration with sync) with same PCI (same cell handover). In such case</w:t>
      </w:r>
      <w:r w:rsidR="004E00E0">
        <w:rPr>
          <w:lang w:val="en-GB" w:eastAsia="ja-JP"/>
        </w:rPr>
        <w:t xml:space="preserve">, the target cell handover is </w:t>
      </w:r>
      <w:r>
        <w:rPr>
          <w:lang w:val="en-GB" w:eastAsia="ja-JP"/>
        </w:rPr>
        <w:t xml:space="preserve">very well </w:t>
      </w:r>
      <w:r w:rsidR="004E00E0">
        <w:rPr>
          <w:lang w:val="en-GB" w:eastAsia="ja-JP"/>
        </w:rPr>
        <w:t>known</w:t>
      </w:r>
      <w:r>
        <w:rPr>
          <w:lang w:val="en-GB" w:eastAsia="ja-JP"/>
        </w:rPr>
        <w:t xml:space="preserve">. A sensible UE implementation would use this information (just as for a handover to another known cell). </w:t>
      </w:r>
    </w:p>
    <w:p w14:paraId="391B9650" w14:textId="46C8DE8A" w:rsidR="004E00E0" w:rsidRDefault="007A6FDE" w:rsidP="008F74C4">
      <w:pPr>
        <w:jc w:val="both"/>
        <w:rPr>
          <w:lang w:val="en-GB" w:eastAsia="ja-JP"/>
        </w:rPr>
      </w:pPr>
      <w:r>
        <w:rPr>
          <w:lang w:val="en-GB" w:eastAsia="ja-JP"/>
        </w:rPr>
        <w:t>Hence,</w:t>
      </w:r>
      <w:r w:rsidR="008544D7">
        <w:rPr>
          <w:lang w:val="en-GB" w:eastAsia="ja-JP"/>
        </w:rPr>
        <w:t xml:space="preserve"> the scenario is different, and it is unclear to which extent this would work without issues for all the Rel-17 UEs.</w:t>
      </w:r>
      <w:r>
        <w:rPr>
          <w:lang w:val="en-GB" w:eastAsia="ja-JP"/>
        </w:rPr>
        <w:t xml:space="preserve"> It can be noted that same cell handover is traditionally used for e.g. key refresh, not for resynchronizing the cell (this would be a new scenario). </w:t>
      </w:r>
    </w:p>
    <w:p w14:paraId="732F2E75" w14:textId="1A41C300" w:rsidR="008544D7" w:rsidRDefault="008544D7" w:rsidP="008544D7">
      <w:pPr>
        <w:pStyle w:val="Heading7"/>
      </w:pPr>
      <w:bookmarkStart w:id="4" w:name="_Ref131780074"/>
      <w:r>
        <w:t>Observation 3</w:t>
      </w:r>
      <w:r w:rsidRPr="00AA0D4F">
        <w:rPr>
          <w:rFonts w:hint="eastAsia"/>
        </w:rPr>
        <w:t xml:space="preserve">: </w:t>
      </w:r>
      <w:r>
        <w:t>A Rel-17 UE may not correctly resync the target cell in case of same cell handover</w:t>
      </w:r>
      <w:bookmarkEnd w:id="4"/>
    </w:p>
    <w:p w14:paraId="669CAC77" w14:textId="260820EE" w:rsidR="007364EE" w:rsidRPr="00962B16" w:rsidRDefault="007364EE" w:rsidP="008F74C4">
      <w:pPr>
        <w:jc w:val="both"/>
        <w:rPr>
          <w:u w:val="single"/>
          <w:lang w:val="en-GB" w:eastAsia="ja-JP"/>
        </w:rPr>
      </w:pPr>
    </w:p>
    <w:p w14:paraId="4066E873" w14:textId="77777777" w:rsidR="00962B16" w:rsidRPr="00962B16" w:rsidRDefault="00962B16" w:rsidP="008F74C4">
      <w:pPr>
        <w:jc w:val="both"/>
        <w:rPr>
          <w:u w:val="single"/>
          <w:lang w:val="en-GB" w:eastAsia="ja-JP"/>
        </w:rPr>
      </w:pPr>
      <w:r w:rsidRPr="00962B16">
        <w:rPr>
          <w:u w:val="single"/>
          <w:lang w:val="en-GB" w:eastAsia="ja-JP"/>
        </w:rPr>
        <w:t>Implementation constraints</w:t>
      </w:r>
    </w:p>
    <w:p w14:paraId="129C47C8" w14:textId="4543656C" w:rsidR="00962B16" w:rsidRDefault="00962B16" w:rsidP="008F74C4">
      <w:pPr>
        <w:jc w:val="both"/>
        <w:rPr>
          <w:lang w:val="en-GB" w:eastAsia="ja-JP"/>
        </w:rPr>
      </w:pPr>
      <w:r>
        <w:rPr>
          <w:lang w:val="en-GB" w:eastAsia="ja-JP"/>
        </w:rPr>
        <w:t>In the ideal case where the Rel-17 UEs support time-based CHO, this can be used to indicate the exact switch time (and this is also useful to spread the handover messages load).</w:t>
      </w:r>
    </w:p>
    <w:p w14:paraId="4163111E" w14:textId="4FB2AD37" w:rsidR="00962B16" w:rsidRDefault="00962B16" w:rsidP="008F74C4">
      <w:pPr>
        <w:jc w:val="both"/>
        <w:rPr>
          <w:lang w:val="en-GB" w:eastAsia="ja-JP"/>
        </w:rPr>
      </w:pPr>
      <w:r>
        <w:rPr>
          <w:lang w:val="en-GB" w:eastAsia="ja-JP"/>
        </w:rPr>
        <w:t xml:space="preserve">However, if Rel-17 UEs do not support </w:t>
      </w:r>
      <w:r w:rsidR="00BD6C63">
        <w:rPr>
          <w:lang w:val="en-GB" w:eastAsia="ja-JP"/>
        </w:rPr>
        <w:t>time-based CHO</w:t>
      </w:r>
      <w:r>
        <w:rPr>
          <w:lang w:val="en-GB" w:eastAsia="ja-JP"/>
        </w:rPr>
        <w:t>, a legacy handover message would have to be sent. Compared to the hard service link switch scenario with different PCI, there is an additional constraint. The handover message would need to be sent at the very last time</w:t>
      </w:r>
      <w:r w:rsidR="00BD6C63">
        <w:rPr>
          <w:lang w:val="en-GB" w:eastAsia="ja-JP"/>
        </w:rPr>
        <w:t>:</w:t>
      </w:r>
      <w:r w:rsidR="00ED0923">
        <w:rPr>
          <w:lang w:val="en-GB" w:eastAsia="ja-JP"/>
        </w:rPr>
        <w:t xml:space="preserve"> there should be </w:t>
      </w:r>
      <w:r w:rsidR="00BD6C63">
        <w:rPr>
          <w:lang w:val="en-GB" w:eastAsia="ja-JP"/>
        </w:rPr>
        <w:t xml:space="preserve">no source cell </w:t>
      </w:r>
      <w:r>
        <w:rPr>
          <w:lang w:val="en-GB" w:eastAsia="ja-JP"/>
        </w:rPr>
        <w:t xml:space="preserve">SSBs </w:t>
      </w:r>
      <w:r w:rsidR="00ED0923">
        <w:rPr>
          <w:lang w:val="en-GB" w:eastAsia="ja-JP"/>
        </w:rPr>
        <w:t xml:space="preserve">after the handover message and before the switch. Otherwise, there is a risk that the UE just sync again the source cell. </w:t>
      </w:r>
    </w:p>
    <w:p w14:paraId="66FC9408" w14:textId="07ADD3B7" w:rsidR="00604E15" w:rsidRDefault="00604E15" w:rsidP="00604E15">
      <w:pPr>
        <w:keepNext/>
        <w:jc w:val="center"/>
      </w:pPr>
      <w:r>
        <w:object w:dxaOrig="6976" w:dyaOrig="3526" w14:anchorId="7724F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116.25pt" o:ole="">
            <v:imagedata r:id="rId8" o:title=""/>
          </v:shape>
          <o:OLEObject Type="Embed" ProgID="Visio.Drawing.15" ShapeID="_x0000_i1025" DrawAspect="Content" ObjectID="_1745396597" r:id="rId9"/>
        </w:object>
      </w:r>
    </w:p>
    <w:p w14:paraId="060B92CA" w14:textId="57DF77C3" w:rsidR="00604E15" w:rsidRDefault="00604E15" w:rsidP="00604E15">
      <w:pPr>
        <w:pStyle w:val="Caption"/>
        <w:jc w:val="center"/>
      </w:pPr>
      <w:r>
        <w:t xml:space="preserve">Figure </w:t>
      </w:r>
      <w:fldSimple w:instr=" SEQ Figure \* ARABIC ">
        <w:r w:rsidR="00663B0E">
          <w:rPr>
            <w:noProof/>
          </w:rPr>
          <w:t>1</w:t>
        </w:r>
      </w:fldSimple>
      <w:r>
        <w:t xml:space="preserve"> - Issue of source cell resync</w:t>
      </w:r>
    </w:p>
    <w:p w14:paraId="33024B6F" w14:textId="77777777" w:rsidR="00BD6C63" w:rsidRPr="00BD6C63" w:rsidRDefault="00BD6C63" w:rsidP="00BD6C63"/>
    <w:p w14:paraId="39E3E7AB" w14:textId="77777777" w:rsidR="00663B0E" w:rsidRDefault="00663B0E" w:rsidP="00663B0E">
      <w:pPr>
        <w:keepNext/>
        <w:jc w:val="center"/>
      </w:pPr>
      <w:r>
        <w:object w:dxaOrig="7651" w:dyaOrig="4171" w14:anchorId="4F372501">
          <v:shape id="_x0000_i1026" type="#_x0000_t75" style="width:234pt;height:127.5pt" o:ole="">
            <v:imagedata r:id="rId10" o:title=""/>
          </v:shape>
          <o:OLEObject Type="Embed" ProgID="Visio.Drawing.15" ShapeID="_x0000_i1026" DrawAspect="Content" ObjectID="_1745396598" r:id="rId11"/>
        </w:object>
      </w:r>
    </w:p>
    <w:p w14:paraId="388CCF9E" w14:textId="456E56A9" w:rsidR="00ED0923" w:rsidRDefault="00663B0E" w:rsidP="00663B0E">
      <w:pPr>
        <w:pStyle w:val="Caption"/>
        <w:jc w:val="center"/>
        <w:rPr>
          <w:lang w:val="en-GB" w:eastAsia="ja-JP"/>
        </w:rPr>
      </w:pPr>
      <w:r>
        <w:t xml:space="preserve">Figure </w:t>
      </w:r>
      <w:fldSimple w:instr=" SEQ Figure \* ARABIC ">
        <w:r>
          <w:rPr>
            <w:noProof/>
          </w:rPr>
          <w:t>2</w:t>
        </w:r>
      </w:fldSimple>
      <w:r>
        <w:t xml:space="preserve"> - Implementation constraint</w:t>
      </w:r>
    </w:p>
    <w:p w14:paraId="42EA6F30" w14:textId="77777777" w:rsidR="00663B0E" w:rsidRDefault="00663B0E" w:rsidP="008F74C4">
      <w:pPr>
        <w:jc w:val="both"/>
        <w:rPr>
          <w:lang w:val="en-GB" w:eastAsia="ja-JP"/>
        </w:rPr>
      </w:pPr>
    </w:p>
    <w:p w14:paraId="465ACDF3" w14:textId="207F2501" w:rsidR="00663B0E" w:rsidRDefault="00663B0E" w:rsidP="00663B0E">
      <w:pPr>
        <w:jc w:val="both"/>
        <w:rPr>
          <w:lang w:val="en-GB" w:eastAsia="ja-JP"/>
        </w:rPr>
      </w:pPr>
      <w:r>
        <w:rPr>
          <w:lang w:val="en-GB" w:eastAsia="ja-JP"/>
        </w:rPr>
        <w:lastRenderedPageBreak/>
        <w:t>Solving this issue</w:t>
      </w:r>
      <w:r w:rsidR="00604E15">
        <w:rPr>
          <w:lang w:val="en-GB" w:eastAsia="ja-JP"/>
        </w:rPr>
        <w:t xml:space="preserve"> requires careful synchronization of service link switch time / SSB burst position / </w:t>
      </w:r>
      <w:r>
        <w:rPr>
          <w:lang w:val="en-GB" w:eastAsia="ja-JP"/>
        </w:rPr>
        <w:t>handover message.</w:t>
      </w:r>
      <w:r w:rsidR="00604E15">
        <w:rPr>
          <w:lang w:val="en-GB" w:eastAsia="ja-JP"/>
        </w:rPr>
        <w:t xml:space="preserve"> </w:t>
      </w:r>
      <w:r w:rsidR="009E7F35">
        <w:rPr>
          <w:lang w:val="en-GB" w:eastAsia="ja-JP"/>
        </w:rPr>
        <w:t xml:space="preserve">It also prevents potential spreading of HO commands on a larger time </w:t>
      </w:r>
      <w:r w:rsidR="0088795B">
        <w:rPr>
          <w:lang w:val="en-GB" w:eastAsia="ja-JP"/>
        </w:rPr>
        <w:t>range</w:t>
      </w:r>
      <w:r w:rsidR="009E7F35">
        <w:rPr>
          <w:lang w:val="en-GB" w:eastAsia="ja-JP"/>
        </w:rPr>
        <w:t xml:space="preserve"> in case it is required by a high number of connected UEs. </w:t>
      </w:r>
      <w:r>
        <w:rPr>
          <w:lang w:val="en-GB" w:eastAsia="ja-JP"/>
        </w:rPr>
        <w:t>Again, there is no such constraint in case of hard service link switch scenario with different PCI since as long as the service link switch has not occurred, the target SSB/PCI is not broadcasted.</w:t>
      </w:r>
    </w:p>
    <w:p w14:paraId="628520A3" w14:textId="14E37EB1" w:rsidR="00663B0E" w:rsidRDefault="00663B0E" w:rsidP="00663B0E">
      <w:pPr>
        <w:pStyle w:val="Heading7"/>
      </w:pPr>
      <w:bookmarkStart w:id="5" w:name="_Ref131780076"/>
      <w:r>
        <w:t xml:space="preserve">Observation </w:t>
      </w:r>
      <w:r w:rsidR="00872D68">
        <w:t>4</w:t>
      </w:r>
      <w:r w:rsidRPr="00AA0D4F">
        <w:rPr>
          <w:rFonts w:hint="eastAsia"/>
        </w:rPr>
        <w:t xml:space="preserve">: </w:t>
      </w:r>
      <w:r w:rsidR="00872D68">
        <w:t xml:space="preserve">The HO message to </w:t>
      </w:r>
      <w:r>
        <w:t xml:space="preserve">Rel-17 UE </w:t>
      </w:r>
      <w:r w:rsidR="00872D68">
        <w:t xml:space="preserve">needs to be sent after any source cell SSB to prevent resync </w:t>
      </w:r>
      <w:r w:rsidR="00730DA8">
        <w:t>on</w:t>
      </w:r>
      <w:r w:rsidR="00872D68">
        <w:t xml:space="preserve"> the source cell</w:t>
      </w:r>
      <w:bookmarkEnd w:id="5"/>
    </w:p>
    <w:p w14:paraId="4941AE17" w14:textId="77777777" w:rsidR="00C92FAB" w:rsidRDefault="00C92FAB" w:rsidP="00C92FAB">
      <w:pPr>
        <w:pStyle w:val="Heading7"/>
      </w:pPr>
      <w:bookmarkStart w:id="6" w:name="_Ref131780079"/>
      <w:r>
        <w:t>Proposal</w:t>
      </w:r>
      <w:r w:rsidRPr="00AA0D4F">
        <w:rPr>
          <w:rFonts w:hint="eastAsia"/>
        </w:rPr>
        <w:t xml:space="preserve"> </w:t>
      </w:r>
      <w:r>
        <w:t>1</w:t>
      </w:r>
      <w:r w:rsidRPr="00AA0D4F">
        <w:rPr>
          <w:rFonts w:hint="eastAsia"/>
        </w:rPr>
        <w:t xml:space="preserve">: </w:t>
      </w:r>
      <w:r>
        <w:t>“</w:t>
      </w:r>
      <w:r w:rsidRPr="003E1144">
        <w:t>Reusing PCI after satellite changes</w:t>
      </w:r>
      <w:r>
        <w:t>” should take into account possible impact on Rel-17 UEs</w:t>
      </w:r>
      <w:bookmarkEnd w:id="6"/>
    </w:p>
    <w:p w14:paraId="63797D99" w14:textId="7725E6B7" w:rsidR="00604E15" w:rsidRDefault="00604E15" w:rsidP="008F74C4">
      <w:pPr>
        <w:jc w:val="both"/>
        <w:rPr>
          <w:lang w:eastAsia="ja-JP"/>
        </w:rPr>
      </w:pPr>
    </w:p>
    <w:p w14:paraId="187C93C6" w14:textId="4BAF1FC6" w:rsidR="00C24F3F" w:rsidRDefault="00C24F3F" w:rsidP="00C24F3F">
      <w:pPr>
        <w:pStyle w:val="Heading2"/>
        <w:rPr>
          <w:lang w:eastAsia="ja-JP"/>
        </w:rPr>
      </w:pPr>
      <w:r>
        <w:rPr>
          <w:lang w:eastAsia="ja-JP"/>
        </w:rPr>
        <w:t>Ephemeris provisioning</w:t>
      </w:r>
    </w:p>
    <w:p w14:paraId="0410EDB9" w14:textId="02E8DCB4" w:rsidR="00C24F3F" w:rsidRDefault="00C24F3F" w:rsidP="00C24F3F">
      <w:pPr>
        <w:jc w:val="both"/>
        <w:rPr>
          <w:lang w:val="en-GB" w:eastAsia="ja-JP"/>
        </w:rPr>
      </w:pPr>
      <w:r>
        <w:rPr>
          <w:lang w:val="en-GB" w:eastAsia="ja-JP"/>
        </w:rPr>
        <w:t>In the proposed scheme, there is no HO command, and the same cell appears projected to the same area by the next satellite. One main configuration that is changed</w:t>
      </w:r>
      <w:r w:rsidR="00C92FAB">
        <w:rPr>
          <w:lang w:val="en-GB" w:eastAsia="ja-JP"/>
        </w:rPr>
        <w:t xml:space="preserve"> at the time of the switch</w:t>
      </w:r>
      <w:r>
        <w:rPr>
          <w:lang w:val="en-GB" w:eastAsia="ja-JP"/>
        </w:rPr>
        <w:t xml:space="preserve"> is the NTN-config (ephemeris/common TA parameter)</w:t>
      </w:r>
      <w:r w:rsidR="00C92FAB">
        <w:rPr>
          <w:lang w:val="en-GB" w:eastAsia="ja-JP"/>
        </w:rPr>
        <w:t>, and the UE needs it to (again) access the cell.</w:t>
      </w:r>
    </w:p>
    <w:p w14:paraId="584C7158" w14:textId="03EB54DC" w:rsidR="00C24F3F" w:rsidRDefault="00C24F3F" w:rsidP="00BB5839">
      <w:pPr>
        <w:jc w:val="both"/>
        <w:rPr>
          <w:lang w:val="en-GB"/>
        </w:rPr>
      </w:pPr>
      <w:r w:rsidRPr="00BB5839">
        <w:rPr>
          <w:lang w:val="en-GB"/>
        </w:rPr>
        <w:t xml:space="preserve">The UE could read the SIB19 after the service link switch. However, this introduces further interruption time. </w:t>
      </w:r>
      <w:r w:rsidR="00BB5839">
        <w:rPr>
          <w:lang w:val="en-GB"/>
        </w:rPr>
        <w:t>That would put t</w:t>
      </w:r>
      <w:r w:rsidRPr="00BB5839">
        <w:rPr>
          <w:lang w:val="en-GB"/>
        </w:rPr>
        <w:t xml:space="preserve">he final interruption time </w:t>
      </w:r>
      <w:r w:rsidR="00BB5839">
        <w:rPr>
          <w:lang w:val="en-GB"/>
        </w:rPr>
        <w:t>to a value way higher th</w:t>
      </w:r>
      <w:r w:rsidR="00C92FAB">
        <w:rPr>
          <w:lang w:val="en-GB"/>
        </w:rPr>
        <w:t xml:space="preserve">an </w:t>
      </w:r>
      <w:r w:rsidR="00BB5839">
        <w:rPr>
          <w:lang w:val="en-GB"/>
        </w:rPr>
        <w:t>the baseline</w:t>
      </w:r>
      <w:r w:rsidRPr="00BB5839">
        <w:rPr>
          <w:lang w:val="en-GB"/>
        </w:rPr>
        <w:t xml:space="preserve"> </w:t>
      </w:r>
      <w:r w:rsidR="00C92FAB">
        <w:rPr>
          <w:lang w:val="en-GB"/>
        </w:rPr>
        <w:t xml:space="preserve">value of </w:t>
      </w:r>
      <w:r w:rsidRPr="00BB5839">
        <w:rPr>
          <w:lang w:val="en-GB"/>
        </w:rPr>
        <w:t>Rel-17</w:t>
      </w:r>
      <w:r w:rsidR="00BB5839">
        <w:rPr>
          <w:lang w:val="en-GB"/>
        </w:rPr>
        <w:t xml:space="preserve">, contrary to the expectations of the proponents in the motivation paper </w:t>
      </w:r>
      <w:r w:rsidR="00BB5839">
        <w:rPr>
          <w:lang w:val="en-GB"/>
        </w:rPr>
        <w:fldChar w:fldCharType="begin"/>
      </w:r>
      <w:r w:rsidR="00BB5839">
        <w:rPr>
          <w:lang w:val="en-GB"/>
        </w:rPr>
        <w:instrText xml:space="preserve"> REF _Ref131776756 \r \h </w:instrText>
      </w:r>
      <w:r w:rsidR="00BB5839">
        <w:rPr>
          <w:lang w:val="en-GB"/>
        </w:rPr>
      </w:r>
      <w:r w:rsidR="00BB5839">
        <w:rPr>
          <w:lang w:val="en-GB"/>
        </w:rPr>
        <w:fldChar w:fldCharType="separate"/>
      </w:r>
      <w:r w:rsidR="00BB5839">
        <w:rPr>
          <w:lang w:val="en-GB"/>
        </w:rPr>
        <w:t>[1]</w:t>
      </w:r>
      <w:r w:rsidR="00BB5839">
        <w:rPr>
          <w:lang w:val="en-GB"/>
        </w:rPr>
        <w:fldChar w:fldCharType="end"/>
      </w:r>
      <w:r w:rsidRPr="00BB5839">
        <w:rPr>
          <w:lang w:val="en-GB"/>
        </w:rPr>
        <w:t>. This might be ok for some scenarios, but not in the general case.</w:t>
      </w:r>
    </w:p>
    <w:p w14:paraId="0E01895E" w14:textId="420F8434" w:rsidR="00C24F3F" w:rsidRDefault="00BB5839" w:rsidP="00C92FAB">
      <w:pPr>
        <w:jc w:val="both"/>
        <w:rPr>
          <w:lang w:val="en-GB"/>
        </w:rPr>
      </w:pPr>
      <w:r>
        <w:rPr>
          <w:lang w:val="en-GB"/>
        </w:rPr>
        <w:t xml:space="preserve">In Rel-17, it is possible for the UE to use the target cell NTN-config from the source cell SIB19 for target cell synchronization. We think a similar mechanism should be preferred. That would require </w:t>
      </w:r>
      <w:r w:rsidR="00C92FAB">
        <w:rPr>
          <w:lang w:val="en-GB"/>
        </w:rPr>
        <w:t>mainly to broadcast the “next NTN-config”</w:t>
      </w:r>
      <w:r w:rsidR="00E266FB">
        <w:rPr>
          <w:lang w:val="en-GB"/>
        </w:rPr>
        <w:t xml:space="preserve"> of the serving cell</w:t>
      </w:r>
      <w:r w:rsidR="00C92FAB">
        <w:rPr>
          <w:lang w:val="en-GB"/>
        </w:rPr>
        <w:t>, t</w:t>
      </w:r>
      <w:r w:rsidR="00E266FB">
        <w:rPr>
          <w:lang w:val="en-GB"/>
        </w:rPr>
        <w:t>hat</w:t>
      </w:r>
      <w:r w:rsidR="00C92FAB">
        <w:rPr>
          <w:lang w:val="en-GB"/>
        </w:rPr>
        <w:t xml:space="preserve"> </w:t>
      </w:r>
      <w:r w:rsidR="00E266FB">
        <w:rPr>
          <w:lang w:val="en-GB"/>
        </w:rPr>
        <w:t xml:space="preserve">would </w:t>
      </w:r>
      <w:r w:rsidR="00C92FAB">
        <w:rPr>
          <w:lang w:val="en-GB"/>
        </w:rPr>
        <w:t>be used by the UE after the service link switch.</w:t>
      </w:r>
      <w:r w:rsidR="00E266FB">
        <w:rPr>
          <w:lang w:val="en-GB"/>
        </w:rPr>
        <w:t xml:space="preserve"> </w:t>
      </w:r>
    </w:p>
    <w:p w14:paraId="0D8930E4" w14:textId="6A49E736" w:rsidR="00856EF0" w:rsidRDefault="00856EF0" w:rsidP="00856EF0">
      <w:pPr>
        <w:pStyle w:val="Heading7"/>
      </w:pPr>
      <w:bookmarkStart w:id="7" w:name="_Ref127548756"/>
      <w:r>
        <w:t>Proposal</w:t>
      </w:r>
      <w:r w:rsidRPr="00AA0D4F">
        <w:rPr>
          <w:rFonts w:hint="eastAsia"/>
        </w:rPr>
        <w:t xml:space="preserve"> </w:t>
      </w:r>
      <w:r w:rsidR="00C92FAB">
        <w:t>2</w:t>
      </w:r>
      <w:r w:rsidRPr="00AA0D4F">
        <w:rPr>
          <w:rFonts w:hint="eastAsia"/>
        </w:rPr>
        <w:t xml:space="preserve">: </w:t>
      </w:r>
      <w:r w:rsidR="00C92FAB">
        <w:t xml:space="preserve">Broadcast the </w:t>
      </w:r>
      <w:r w:rsidR="00C92FAB">
        <w:rPr>
          <w:lang w:val="en-GB"/>
        </w:rPr>
        <w:t>“next NTN-config”</w:t>
      </w:r>
      <w:r w:rsidR="008B33ED">
        <w:rPr>
          <w:lang w:val="en-GB"/>
        </w:rPr>
        <w:t xml:space="preserve"> of the serving cell</w:t>
      </w:r>
      <w:r w:rsidR="00C92FAB">
        <w:rPr>
          <w:lang w:val="en-GB"/>
        </w:rPr>
        <w:t>, to be used by the UE after the service link switch</w:t>
      </w:r>
      <w:r w:rsidR="00C92FAB">
        <w:t xml:space="preserve"> </w:t>
      </w:r>
      <w:bookmarkEnd w:id="7"/>
    </w:p>
    <w:p w14:paraId="3037EBD1" w14:textId="6C5E8BA9" w:rsidR="00954392" w:rsidRDefault="00954392" w:rsidP="00954392"/>
    <w:p w14:paraId="34BC7E57" w14:textId="592189CB" w:rsidR="00954392" w:rsidRDefault="00F50F8A" w:rsidP="00954392">
      <w:pPr>
        <w:pStyle w:val="Heading2"/>
        <w:rPr>
          <w:lang w:eastAsia="ja-JP"/>
        </w:rPr>
      </w:pPr>
      <w:r>
        <w:rPr>
          <w:lang w:eastAsia="ja-JP"/>
        </w:rPr>
        <w:t>“</w:t>
      </w:r>
      <w:r w:rsidR="00954392">
        <w:rPr>
          <w:lang w:eastAsia="ja-JP"/>
        </w:rPr>
        <w:t xml:space="preserve">PCI </w:t>
      </w:r>
      <w:r w:rsidR="00247D1A">
        <w:rPr>
          <w:lang w:eastAsia="ja-JP"/>
        </w:rPr>
        <w:t xml:space="preserve">change </w:t>
      </w:r>
      <w:r w:rsidR="00954392">
        <w:rPr>
          <w:lang w:eastAsia="ja-JP"/>
        </w:rPr>
        <w:t>only</w:t>
      </w:r>
      <w:r>
        <w:rPr>
          <w:lang w:eastAsia="ja-JP"/>
        </w:rPr>
        <w:t>”</w:t>
      </w:r>
      <w:r w:rsidR="006F6552">
        <w:rPr>
          <w:lang w:eastAsia="ja-JP"/>
        </w:rPr>
        <w:t xml:space="preserve"> solution</w:t>
      </w:r>
    </w:p>
    <w:p w14:paraId="0D5F4FD7" w14:textId="45F77A8D" w:rsidR="00247D1A" w:rsidRDefault="00954392" w:rsidP="00247D1A">
      <w:pPr>
        <w:jc w:val="both"/>
        <w:rPr>
          <w:lang w:val="en-GB"/>
        </w:rPr>
      </w:pPr>
      <w:r>
        <w:rPr>
          <w:lang w:val="en-GB" w:eastAsia="ja-JP"/>
        </w:rPr>
        <w:t xml:space="preserve">The main benefit of unchanged PCI solution is to avoid the HO </w:t>
      </w:r>
      <w:r w:rsidR="00F50F8A">
        <w:rPr>
          <w:lang w:val="en-GB" w:eastAsia="ja-JP"/>
        </w:rPr>
        <w:t>procedure altogether</w:t>
      </w:r>
      <w:r>
        <w:rPr>
          <w:lang w:val="en-GB" w:eastAsia="ja-JP"/>
        </w:rPr>
        <w:t xml:space="preserve">. However, </w:t>
      </w:r>
      <w:r w:rsidR="008E5022">
        <w:rPr>
          <w:lang w:val="en-GB" w:eastAsia="ja-JP"/>
        </w:rPr>
        <w:t>it</w:t>
      </w:r>
      <w:r>
        <w:rPr>
          <w:lang w:val="en-GB" w:eastAsia="ja-JP"/>
        </w:rPr>
        <w:t xml:space="preserve"> comes with </w:t>
      </w:r>
      <w:r w:rsidR="003467B6">
        <w:rPr>
          <w:lang w:val="en-GB" w:eastAsia="ja-JP"/>
        </w:rPr>
        <w:t>several drawbacks</w:t>
      </w:r>
      <w:r w:rsidR="0021293B">
        <w:rPr>
          <w:lang w:val="en-GB" w:eastAsia="ja-JP"/>
        </w:rPr>
        <w:t>:</w:t>
      </w:r>
    </w:p>
    <w:p w14:paraId="759D9BA4" w14:textId="08AE3EBA" w:rsidR="00247D1A" w:rsidRPr="00247D1A" w:rsidRDefault="00247D1A" w:rsidP="00247D1A">
      <w:pPr>
        <w:pStyle w:val="ListParagraph"/>
        <w:numPr>
          <w:ilvl w:val="0"/>
          <w:numId w:val="11"/>
        </w:numPr>
        <w:rPr>
          <w:lang w:val="en-GB"/>
        </w:rPr>
      </w:pPr>
      <w:r w:rsidRPr="00247D1A">
        <w:rPr>
          <w:lang w:val="en-GB"/>
        </w:rPr>
        <w:t>For Rel-17 UEs:</w:t>
      </w:r>
    </w:p>
    <w:p w14:paraId="75D8F073" w14:textId="2A3CF5A9" w:rsidR="00247D1A" w:rsidRDefault="003467B6" w:rsidP="00247D1A">
      <w:pPr>
        <w:pStyle w:val="ListParagraph"/>
        <w:numPr>
          <w:ilvl w:val="1"/>
          <w:numId w:val="11"/>
        </w:numPr>
        <w:rPr>
          <w:lang w:val="en-GB"/>
        </w:rPr>
      </w:pPr>
      <w:r>
        <w:rPr>
          <w:lang w:val="en-GB"/>
        </w:rPr>
        <w:t>T</w:t>
      </w:r>
      <w:r>
        <w:rPr>
          <w:lang w:val="en-GB"/>
        </w:rPr>
        <w:t>arget cell would need to be synchronized after leaving source cell</w:t>
      </w:r>
      <w:r>
        <w:rPr>
          <w:lang w:val="en-GB"/>
        </w:rPr>
        <w:t xml:space="preserve"> </w:t>
      </w:r>
      <w:r w:rsidRPr="003467B6">
        <w:rPr>
          <w:lang w:val="en-GB"/>
        </w:rPr>
        <w:sym w:font="Wingdings" w:char="F0E8"/>
      </w:r>
      <w:r>
        <w:rPr>
          <w:lang w:val="en-GB"/>
        </w:rPr>
        <w:t xml:space="preserve"> </w:t>
      </w:r>
      <w:r w:rsidR="00247D1A">
        <w:rPr>
          <w:lang w:val="en-GB"/>
        </w:rPr>
        <w:t>Increased interruption time</w:t>
      </w:r>
    </w:p>
    <w:p w14:paraId="07966491" w14:textId="53A7FCD3" w:rsidR="003467B6" w:rsidRDefault="003467B6" w:rsidP="003467B6">
      <w:pPr>
        <w:pStyle w:val="ListParagraph"/>
        <w:numPr>
          <w:ilvl w:val="1"/>
          <w:numId w:val="11"/>
        </w:numPr>
        <w:rPr>
          <w:lang w:val="en-GB"/>
        </w:rPr>
      </w:pPr>
      <w:r>
        <w:rPr>
          <w:lang w:val="en-GB"/>
        </w:rPr>
        <w:t>T</w:t>
      </w:r>
      <w:r>
        <w:rPr>
          <w:lang w:val="en-GB"/>
        </w:rPr>
        <w:t xml:space="preserve">arget NTN-config would not be broadcasted in the source cell </w:t>
      </w:r>
      <w:r>
        <w:rPr>
          <w:lang w:val="en-GB"/>
        </w:rPr>
        <w:t xml:space="preserve">(same PCI, hence impossible), so the </w:t>
      </w:r>
      <w:r w:rsidRPr="003467B6">
        <w:rPr>
          <w:lang w:val="en-GB"/>
        </w:rPr>
        <w:t>NW would ne</w:t>
      </w:r>
      <w:r>
        <w:rPr>
          <w:lang w:val="en-GB"/>
        </w:rPr>
        <w:t>e</w:t>
      </w:r>
      <w:r w:rsidRPr="003467B6">
        <w:rPr>
          <w:lang w:val="en-GB"/>
        </w:rPr>
        <w:t>d to include it</w:t>
      </w:r>
      <w:r>
        <w:rPr>
          <w:lang w:val="en-GB"/>
        </w:rPr>
        <w:t xml:space="preserve"> </w:t>
      </w:r>
      <w:r w:rsidRPr="003467B6">
        <w:rPr>
          <w:lang w:val="en-GB"/>
        </w:rPr>
        <w:t xml:space="preserve">HO messages, with the risk </w:t>
      </w:r>
      <w:r w:rsidR="008F2A20">
        <w:rPr>
          <w:lang w:val="en-GB"/>
        </w:rPr>
        <w:t xml:space="preserve">that </w:t>
      </w:r>
      <w:r w:rsidRPr="003467B6">
        <w:rPr>
          <w:lang w:val="en-GB"/>
        </w:rPr>
        <w:t xml:space="preserve">it becomes </w:t>
      </w:r>
      <w:r>
        <w:rPr>
          <w:lang w:val="en-GB"/>
        </w:rPr>
        <w:t>expired</w:t>
      </w:r>
      <w:r w:rsidRPr="003467B6">
        <w:rPr>
          <w:lang w:val="en-GB"/>
        </w:rPr>
        <w:t xml:space="preserve"> in case of CHO</w:t>
      </w:r>
    </w:p>
    <w:p w14:paraId="3A33CED7" w14:textId="1B94EF9F" w:rsidR="00244A5B" w:rsidRPr="003467B6" w:rsidRDefault="003467B6" w:rsidP="003467B6">
      <w:pPr>
        <w:pStyle w:val="ListParagraph"/>
        <w:numPr>
          <w:ilvl w:val="2"/>
          <w:numId w:val="11"/>
        </w:numPr>
        <w:rPr>
          <w:lang w:val="en-GB"/>
        </w:rPr>
      </w:pPr>
      <w:r w:rsidRPr="003467B6">
        <w:rPr>
          <w:lang w:val="en-GB"/>
        </w:rPr>
        <w:sym w:font="Wingdings" w:char="F0E8"/>
      </w:r>
      <w:r>
        <w:rPr>
          <w:lang w:val="en-GB"/>
        </w:rPr>
        <w:t xml:space="preserve"> </w:t>
      </w:r>
      <w:r w:rsidR="00244A5B" w:rsidRPr="003467B6">
        <w:rPr>
          <w:lang w:val="en-GB"/>
        </w:rPr>
        <w:t>Increased signalling overhead</w:t>
      </w:r>
      <w:r>
        <w:rPr>
          <w:lang w:val="en-GB"/>
        </w:rPr>
        <w:t xml:space="preserve"> and</w:t>
      </w:r>
      <w:r w:rsidR="00244A5B" w:rsidRPr="003467B6">
        <w:rPr>
          <w:lang w:val="en-GB"/>
        </w:rPr>
        <w:t>/or interruption time</w:t>
      </w:r>
      <w:r>
        <w:rPr>
          <w:lang w:val="en-GB"/>
        </w:rPr>
        <w:t xml:space="preserve"> (in case of expired or omitted NTN-config, the Rel-17 would have to acquire </w:t>
      </w:r>
      <w:r w:rsidR="0021293B">
        <w:rPr>
          <w:lang w:val="en-GB"/>
        </w:rPr>
        <w:t>SIB19</w:t>
      </w:r>
      <w:r>
        <w:rPr>
          <w:lang w:val="en-GB"/>
        </w:rPr>
        <w:t xml:space="preserve"> in the target cell)</w:t>
      </w:r>
    </w:p>
    <w:p w14:paraId="0144D231" w14:textId="08413285" w:rsidR="00247D1A" w:rsidRDefault="00247D1A" w:rsidP="00247D1A">
      <w:pPr>
        <w:pStyle w:val="ListParagraph"/>
        <w:numPr>
          <w:ilvl w:val="1"/>
          <w:numId w:val="11"/>
        </w:numPr>
        <w:rPr>
          <w:lang w:val="en-GB"/>
        </w:rPr>
      </w:pPr>
      <w:r>
        <w:rPr>
          <w:lang w:val="en-GB"/>
        </w:rPr>
        <w:t xml:space="preserve">Risks/constraints in synchronizing target cell with same PCI </w:t>
      </w:r>
    </w:p>
    <w:p w14:paraId="33B4643C" w14:textId="7E581733" w:rsidR="00247D1A" w:rsidRDefault="00247D1A" w:rsidP="00247D1A">
      <w:pPr>
        <w:pStyle w:val="ListParagraph"/>
        <w:numPr>
          <w:ilvl w:val="0"/>
          <w:numId w:val="11"/>
        </w:numPr>
        <w:rPr>
          <w:lang w:val="en-GB"/>
        </w:rPr>
      </w:pPr>
      <w:r>
        <w:rPr>
          <w:lang w:val="en-GB"/>
        </w:rPr>
        <w:t>For Rel-18 UEs</w:t>
      </w:r>
      <w:r w:rsidR="003467B6">
        <w:rPr>
          <w:lang w:val="en-GB"/>
        </w:rPr>
        <w:t>:</w:t>
      </w:r>
    </w:p>
    <w:p w14:paraId="548A81EC" w14:textId="77777777" w:rsidR="003467B6" w:rsidRDefault="003467B6" w:rsidP="003467B6">
      <w:pPr>
        <w:pStyle w:val="ListParagraph"/>
        <w:numPr>
          <w:ilvl w:val="1"/>
          <w:numId w:val="11"/>
        </w:numPr>
        <w:rPr>
          <w:lang w:val="en-GB"/>
        </w:rPr>
      </w:pPr>
      <w:r>
        <w:rPr>
          <w:lang w:val="en-GB"/>
        </w:rPr>
        <w:t xml:space="preserve">Target cell would need to be synchronized after leaving source cell </w:t>
      </w:r>
      <w:r w:rsidRPr="003467B6">
        <w:rPr>
          <w:lang w:val="en-GB"/>
        </w:rPr>
        <w:sym w:font="Wingdings" w:char="F0E8"/>
      </w:r>
      <w:r>
        <w:rPr>
          <w:lang w:val="en-GB"/>
        </w:rPr>
        <w:t xml:space="preserve"> Increased interruption time</w:t>
      </w:r>
    </w:p>
    <w:p w14:paraId="66FC3BAD" w14:textId="16E974A0" w:rsidR="003467B6" w:rsidRDefault="0021293B" w:rsidP="00244A5B">
      <w:pPr>
        <w:pStyle w:val="ListParagraph"/>
        <w:numPr>
          <w:ilvl w:val="1"/>
          <w:numId w:val="11"/>
        </w:numPr>
        <w:rPr>
          <w:lang w:val="en-GB"/>
        </w:rPr>
      </w:pPr>
      <w:bookmarkStart w:id="8" w:name="_Hlk134780990"/>
      <w:r>
        <w:rPr>
          <w:lang w:val="en-GB"/>
        </w:rPr>
        <w:t>If t</w:t>
      </w:r>
      <w:r w:rsidRPr="0021293B">
        <w:rPr>
          <w:lang w:val="en-GB"/>
        </w:rPr>
        <w:t xml:space="preserve">arget NTN-config </w:t>
      </w:r>
      <w:r>
        <w:rPr>
          <w:lang w:val="en-GB"/>
        </w:rPr>
        <w:t>is</w:t>
      </w:r>
      <w:r w:rsidRPr="0021293B">
        <w:rPr>
          <w:lang w:val="en-GB"/>
        </w:rPr>
        <w:t xml:space="preserve"> not broadcasted in the source cel</w:t>
      </w:r>
      <w:bookmarkEnd w:id="8"/>
      <w:r w:rsidRPr="0021293B">
        <w:rPr>
          <w:lang w:val="en-GB"/>
        </w:rPr>
        <w:t>l</w:t>
      </w:r>
      <w:r>
        <w:rPr>
          <w:lang w:val="en-GB"/>
        </w:rPr>
        <w:t xml:space="preserve"> (would require a new mechanism) </w:t>
      </w:r>
      <w:r w:rsidRPr="0021293B">
        <w:rPr>
          <w:lang w:val="en-GB"/>
        </w:rPr>
        <w:sym w:font="Wingdings" w:char="F0E8"/>
      </w:r>
      <w:r w:rsidRPr="0021293B">
        <w:rPr>
          <w:lang w:val="en-GB"/>
        </w:rPr>
        <w:t xml:space="preserve"> </w:t>
      </w:r>
      <w:r>
        <w:rPr>
          <w:lang w:val="en-GB"/>
        </w:rPr>
        <w:t>Increased interruption time</w:t>
      </w:r>
      <w:r>
        <w:rPr>
          <w:lang w:val="en-GB"/>
        </w:rPr>
        <w:t xml:space="preserve"> (to acquire SIB19 in the target cell)</w:t>
      </w:r>
    </w:p>
    <w:p w14:paraId="7EABE997" w14:textId="5E21572B" w:rsidR="00244A5B" w:rsidRDefault="0021293B" w:rsidP="00244A5B">
      <w:pPr>
        <w:pStyle w:val="ListParagraph"/>
        <w:numPr>
          <w:ilvl w:val="1"/>
          <w:numId w:val="11"/>
        </w:numPr>
        <w:rPr>
          <w:lang w:val="en-GB"/>
        </w:rPr>
      </w:pPr>
      <w:r w:rsidRPr="0021293B">
        <w:rPr>
          <w:lang w:val="en-GB"/>
        </w:rPr>
        <w:t>If target NTN-config is broadcasted in the source cel</w:t>
      </w:r>
      <w:r>
        <w:rPr>
          <w:lang w:val="en-GB"/>
        </w:rPr>
        <w:t xml:space="preserve">l, a </w:t>
      </w:r>
      <w:r w:rsidR="00244A5B">
        <w:rPr>
          <w:lang w:val="en-GB"/>
        </w:rPr>
        <w:t xml:space="preserve">new mechanism </w:t>
      </w:r>
      <w:r w:rsidR="00B40B58">
        <w:rPr>
          <w:lang w:val="en-GB"/>
        </w:rPr>
        <w:t>needs to be specified</w:t>
      </w:r>
      <w:r>
        <w:rPr>
          <w:lang w:val="en-GB"/>
        </w:rPr>
        <w:t xml:space="preserve"> (as the target has the “same PCI”) and Rel-17 would not be able to use this information</w:t>
      </w:r>
    </w:p>
    <w:p w14:paraId="6B3ECE92" w14:textId="4019EB2E" w:rsidR="0021293B" w:rsidRDefault="0021293B" w:rsidP="006D41A0">
      <w:pPr>
        <w:jc w:val="both"/>
        <w:rPr>
          <w:lang w:val="en-GB" w:eastAsia="ja-JP"/>
        </w:rPr>
      </w:pPr>
      <w:r>
        <w:rPr>
          <w:lang w:val="en-GB" w:eastAsia="ja-JP"/>
        </w:rPr>
        <w:t>In our view</w:t>
      </w:r>
      <w:r w:rsidR="00244A5B">
        <w:rPr>
          <w:lang w:val="en-GB" w:eastAsia="ja-JP"/>
        </w:rPr>
        <w:t>, those issues can be solved easily by adopting “PCI change only” approach whereby</w:t>
      </w:r>
      <w:r w:rsidR="00B40B58">
        <w:rPr>
          <w:lang w:val="en-GB" w:eastAsia="ja-JP"/>
        </w:rPr>
        <w:t>:</w:t>
      </w:r>
    </w:p>
    <w:p w14:paraId="16F9E198" w14:textId="44EF719B" w:rsidR="0021293B" w:rsidRDefault="00244A5B" w:rsidP="0021293B">
      <w:pPr>
        <w:pStyle w:val="ListParagraph"/>
        <w:numPr>
          <w:ilvl w:val="0"/>
          <w:numId w:val="30"/>
        </w:numPr>
        <w:rPr>
          <w:lang w:val="en-GB"/>
        </w:rPr>
      </w:pPr>
      <w:r w:rsidRPr="0021293B">
        <w:rPr>
          <w:lang w:val="en-GB"/>
        </w:rPr>
        <w:t>there is no handover</w:t>
      </w:r>
      <w:r w:rsidR="0021293B">
        <w:rPr>
          <w:lang w:val="en-GB"/>
        </w:rPr>
        <w:t xml:space="preserve"> (for Rel-18 UEs)</w:t>
      </w:r>
    </w:p>
    <w:p w14:paraId="20F987E1" w14:textId="77777777" w:rsidR="0021293B" w:rsidRDefault="00244A5B" w:rsidP="0021293B">
      <w:pPr>
        <w:pStyle w:val="ListParagraph"/>
        <w:numPr>
          <w:ilvl w:val="0"/>
          <w:numId w:val="30"/>
        </w:numPr>
        <w:rPr>
          <w:lang w:val="en-GB"/>
        </w:rPr>
      </w:pPr>
      <w:r w:rsidRPr="0021293B">
        <w:rPr>
          <w:lang w:val="en-GB"/>
        </w:rPr>
        <w:t xml:space="preserve">the cell configuration remains the same (except SIB19) </w:t>
      </w:r>
    </w:p>
    <w:p w14:paraId="7A6F8529" w14:textId="24BA1062" w:rsidR="0021293B" w:rsidRPr="0021293B" w:rsidRDefault="00244A5B" w:rsidP="0021293B">
      <w:pPr>
        <w:pStyle w:val="ListParagraph"/>
        <w:numPr>
          <w:ilvl w:val="0"/>
          <w:numId w:val="30"/>
        </w:numPr>
        <w:rPr>
          <w:lang w:val="en-GB"/>
        </w:rPr>
      </w:pPr>
      <w:r w:rsidRPr="0021293B">
        <w:rPr>
          <w:lang w:val="en-GB"/>
        </w:rPr>
        <w:t>but the PCI is changed.</w:t>
      </w:r>
      <w:r w:rsidR="006F6552" w:rsidRPr="0021293B">
        <w:rPr>
          <w:lang w:val="en-GB"/>
        </w:rPr>
        <w:t xml:space="preserve"> </w:t>
      </w:r>
    </w:p>
    <w:p w14:paraId="0E446EFF" w14:textId="615D6709" w:rsidR="006D41A0" w:rsidRPr="0021293B" w:rsidRDefault="006F6552" w:rsidP="0021293B">
      <w:pPr>
        <w:rPr>
          <w:lang w:val="en-GB"/>
        </w:rPr>
      </w:pPr>
      <w:r w:rsidRPr="0021293B">
        <w:rPr>
          <w:lang w:val="en-GB"/>
        </w:rPr>
        <w:t>This mainly requires the next PCI to be broadcasted</w:t>
      </w:r>
      <w:r w:rsidR="00B40B58">
        <w:rPr>
          <w:lang w:val="en-GB"/>
        </w:rPr>
        <w:t>, which causes neglectable additional overhead.</w:t>
      </w:r>
    </w:p>
    <w:p w14:paraId="5582A311" w14:textId="77777777" w:rsidR="006F6552" w:rsidRDefault="00244A5B" w:rsidP="00D70460">
      <w:pPr>
        <w:jc w:val="both"/>
        <w:rPr>
          <w:lang w:val="en-GB" w:eastAsia="ja-JP"/>
        </w:rPr>
      </w:pPr>
      <w:r>
        <w:rPr>
          <w:lang w:val="en-GB" w:eastAsia="ja-JP"/>
        </w:rPr>
        <w:t>With that approach</w:t>
      </w:r>
      <w:r w:rsidR="006F6552">
        <w:rPr>
          <w:lang w:val="en-GB" w:eastAsia="ja-JP"/>
        </w:rPr>
        <w:t>:</w:t>
      </w:r>
    </w:p>
    <w:p w14:paraId="7EBB6B3E" w14:textId="24EE1884" w:rsidR="00244A5B" w:rsidRDefault="006F6552" w:rsidP="006F6552">
      <w:pPr>
        <w:pStyle w:val="ListParagraph"/>
        <w:numPr>
          <w:ilvl w:val="0"/>
          <w:numId w:val="29"/>
        </w:numPr>
        <w:rPr>
          <w:lang w:val="en-GB"/>
        </w:rPr>
      </w:pPr>
      <w:r>
        <w:rPr>
          <w:lang w:val="en-GB"/>
        </w:rPr>
        <w:t>S</w:t>
      </w:r>
      <w:r w:rsidR="00244A5B" w:rsidRPr="006F6552">
        <w:rPr>
          <w:lang w:val="en-GB"/>
        </w:rPr>
        <w:t>oft switch is possible</w:t>
      </w:r>
      <w:r w:rsidR="00637E6F">
        <w:rPr>
          <w:lang w:val="en-GB"/>
        </w:rPr>
        <w:t xml:space="preserve"> (</w:t>
      </w:r>
      <w:r w:rsidR="0021293B">
        <w:rPr>
          <w:lang w:val="en-GB"/>
        </w:rPr>
        <w:t>if desired</w:t>
      </w:r>
      <w:r w:rsidR="00637E6F">
        <w:rPr>
          <w:lang w:val="en-GB"/>
        </w:rPr>
        <w:t>)</w:t>
      </w:r>
    </w:p>
    <w:p w14:paraId="1DC76C6C" w14:textId="4188276F" w:rsidR="00637E6F" w:rsidRDefault="00637E6F" w:rsidP="00637E6F">
      <w:pPr>
        <w:pStyle w:val="ListParagraph"/>
        <w:numPr>
          <w:ilvl w:val="1"/>
          <w:numId w:val="29"/>
        </w:numPr>
        <w:rPr>
          <w:lang w:val="en-GB"/>
        </w:rPr>
      </w:pPr>
      <w:r>
        <w:rPr>
          <w:lang w:val="en-GB"/>
        </w:rPr>
        <w:t xml:space="preserve">This allows to minimize </w:t>
      </w:r>
      <w:r w:rsidRPr="00637E6F">
        <w:rPr>
          <w:lang w:val="en-GB"/>
        </w:rPr>
        <w:t>interruption time</w:t>
      </w:r>
      <w:r>
        <w:rPr>
          <w:lang w:val="en-GB"/>
        </w:rPr>
        <w:t>:</w:t>
      </w:r>
    </w:p>
    <w:p w14:paraId="7120027F" w14:textId="77777777" w:rsidR="00637E6F" w:rsidRDefault="00637E6F" w:rsidP="00637E6F">
      <w:pPr>
        <w:pStyle w:val="ListParagraph"/>
        <w:numPr>
          <w:ilvl w:val="2"/>
          <w:numId w:val="29"/>
        </w:numPr>
        <w:rPr>
          <w:lang w:val="en-GB"/>
        </w:rPr>
      </w:pPr>
      <w:r>
        <w:rPr>
          <w:lang w:val="en-GB"/>
        </w:rPr>
        <w:t>Target cell synched in the source cell</w:t>
      </w:r>
    </w:p>
    <w:p w14:paraId="2E9F065C" w14:textId="50BA6274" w:rsidR="00637E6F" w:rsidRDefault="00637E6F" w:rsidP="00637E6F">
      <w:pPr>
        <w:pStyle w:val="ListParagraph"/>
        <w:numPr>
          <w:ilvl w:val="2"/>
          <w:numId w:val="29"/>
        </w:numPr>
        <w:rPr>
          <w:lang w:val="en-GB"/>
        </w:rPr>
      </w:pPr>
      <w:r>
        <w:rPr>
          <w:lang w:val="en-GB"/>
        </w:rPr>
        <w:t xml:space="preserve">Target </w:t>
      </w:r>
      <w:r>
        <w:rPr>
          <w:lang w:val="en-GB"/>
        </w:rPr>
        <w:t>NTN-config</w:t>
      </w:r>
      <w:r>
        <w:rPr>
          <w:lang w:val="en-GB"/>
        </w:rPr>
        <w:t xml:space="preserve"> broadcasted in the source cell</w:t>
      </w:r>
    </w:p>
    <w:p w14:paraId="00042C22" w14:textId="24264874" w:rsidR="00244A5B" w:rsidRDefault="00D70460" w:rsidP="00637E6F">
      <w:pPr>
        <w:pStyle w:val="ListParagraph"/>
        <w:numPr>
          <w:ilvl w:val="1"/>
          <w:numId w:val="29"/>
        </w:numPr>
        <w:rPr>
          <w:lang w:val="en-GB"/>
        </w:rPr>
      </w:pPr>
      <w:r w:rsidRPr="00637E6F">
        <w:rPr>
          <w:lang w:val="en-GB"/>
        </w:rPr>
        <w:lastRenderedPageBreak/>
        <w:t xml:space="preserve">Rel-17 UEs </w:t>
      </w:r>
      <w:r w:rsidR="00637E6F">
        <w:rPr>
          <w:lang w:val="en-GB"/>
        </w:rPr>
        <w:t>would be handled as per Rel-17 specification (that approach would be fully backward compatible for them)</w:t>
      </w:r>
      <w:r w:rsidRPr="00637E6F">
        <w:rPr>
          <w:lang w:val="en-GB"/>
        </w:rPr>
        <w:t xml:space="preserve"> </w:t>
      </w:r>
    </w:p>
    <w:p w14:paraId="77C369E5" w14:textId="03929A32" w:rsidR="00637E6F" w:rsidRDefault="00637E6F" w:rsidP="00637E6F">
      <w:pPr>
        <w:pStyle w:val="ListParagraph"/>
        <w:numPr>
          <w:ilvl w:val="1"/>
          <w:numId w:val="29"/>
        </w:numPr>
        <w:rPr>
          <w:lang w:val="en-GB"/>
        </w:rPr>
      </w:pPr>
      <w:r>
        <w:rPr>
          <w:lang w:val="en-GB"/>
        </w:rPr>
        <w:t xml:space="preserve">Rel-18 UEs could also benefit from soft switch, leveraging </w:t>
      </w:r>
      <w:proofErr w:type="gramStart"/>
      <w:r>
        <w:rPr>
          <w:lang w:val="en-GB"/>
        </w:rPr>
        <w:t>both target</w:t>
      </w:r>
      <w:proofErr w:type="gramEnd"/>
      <w:r>
        <w:rPr>
          <w:lang w:val="en-GB"/>
        </w:rPr>
        <w:t xml:space="preserve"> cell synched/target NTN-config broadcasted while in the “source” cell.</w:t>
      </w:r>
    </w:p>
    <w:p w14:paraId="2A3211A9" w14:textId="5FFD8AE8" w:rsidR="00637E6F" w:rsidRDefault="00637E6F" w:rsidP="00637E6F">
      <w:pPr>
        <w:pStyle w:val="ListParagraph"/>
        <w:numPr>
          <w:ilvl w:val="0"/>
          <w:numId w:val="29"/>
        </w:numPr>
        <w:rPr>
          <w:lang w:val="en-GB"/>
        </w:rPr>
      </w:pPr>
      <w:r>
        <w:rPr>
          <w:lang w:val="en-GB"/>
        </w:rPr>
        <w:t xml:space="preserve">There is no need to specify a new mechanism to broadcast </w:t>
      </w:r>
      <w:r w:rsidRPr="00637E6F">
        <w:rPr>
          <w:lang w:val="en-GB"/>
        </w:rPr>
        <w:t>target NTN-config</w:t>
      </w:r>
      <w:r>
        <w:rPr>
          <w:lang w:val="en-GB"/>
        </w:rPr>
        <w:t xml:space="preserve"> in the source cell</w:t>
      </w:r>
      <w:r w:rsidR="007B4D7A">
        <w:rPr>
          <w:lang w:val="en-GB"/>
        </w:rPr>
        <w:t>, the legacy one can be reused</w:t>
      </w:r>
    </w:p>
    <w:p w14:paraId="27FAECC7" w14:textId="07DBAD08" w:rsidR="00A557F3" w:rsidRPr="00A557F3" w:rsidRDefault="00A557F3" w:rsidP="00A557F3">
      <w:pPr>
        <w:pStyle w:val="ListParagraph"/>
        <w:numPr>
          <w:ilvl w:val="0"/>
          <w:numId w:val="29"/>
        </w:numPr>
        <w:rPr>
          <w:lang w:val="en-GB"/>
        </w:rPr>
      </w:pPr>
      <w:r w:rsidRPr="00A557F3">
        <w:rPr>
          <w:lang w:val="en-GB"/>
        </w:rPr>
        <w:t xml:space="preserve">There is no </w:t>
      </w:r>
      <w:r>
        <w:rPr>
          <w:lang w:val="en-GB"/>
        </w:rPr>
        <w:t>“r</w:t>
      </w:r>
      <w:r w:rsidRPr="00A557F3">
        <w:rPr>
          <w:lang w:val="en-GB"/>
        </w:rPr>
        <w:t>isks/constraints in synchronizing target cell with same PCI</w:t>
      </w:r>
      <w:r>
        <w:rPr>
          <w:lang w:val="en-GB"/>
        </w:rPr>
        <w:t>” for Rel-17 UEs</w:t>
      </w:r>
    </w:p>
    <w:p w14:paraId="00D6D2DE" w14:textId="27DE7A19" w:rsidR="00637E6F" w:rsidRPr="00637E6F" w:rsidRDefault="007B4D7A" w:rsidP="00637E6F">
      <w:pPr>
        <w:pStyle w:val="ListParagraph"/>
        <w:numPr>
          <w:ilvl w:val="0"/>
          <w:numId w:val="29"/>
        </w:numPr>
        <w:rPr>
          <w:lang w:val="en-GB"/>
        </w:rPr>
      </w:pPr>
      <w:r>
        <w:rPr>
          <w:lang w:val="en-GB"/>
        </w:rPr>
        <w:t xml:space="preserve">Crucially, for Rel-18 UEs, the handover command would not be needed, </w:t>
      </w:r>
      <w:proofErr w:type="gramStart"/>
      <w:r>
        <w:rPr>
          <w:lang w:val="en-GB"/>
        </w:rPr>
        <w:t>i.e.</w:t>
      </w:r>
      <w:proofErr w:type="gramEnd"/>
      <w:r>
        <w:rPr>
          <w:lang w:val="en-GB"/>
        </w:rPr>
        <w:t xml:space="preserve"> the benefit of “</w:t>
      </w:r>
      <w:r w:rsidRPr="007B4D7A">
        <w:rPr>
          <w:lang w:val="en-GB"/>
        </w:rPr>
        <w:t>unchanged PCI</w:t>
      </w:r>
      <w:r>
        <w:rPr>
          <w:lang w:val="en-GB"/>
        </w:rPr>
        <w:t>” is present (without the drawbacks)</w:t>
      </w:r>
    </w:p>
    <w:p w14:paraId="225391D7" w14:textId="2DBD7EA0" w:rsidR="006F6552" w:rsidRPr="006F6552" w:rsidRDefault="00A557F3" w:rsidP="0040328C">
      <w:pPr>
        <w:jc w:val="both"/>
        <w:rPr>
          <w:lang w:val="en-GB" w:eastAsia="ja-JP"/>
        </w:rPr>
      </w:pPr>
      <w:r>
        <w:rPr>
          <w:lang w:val="en-GB"/>
        </w:rPr>
        <w:t>Hence, t</w:t>
      </w:r>
      <w:r w:rsidR="006F6552">
        <w:rPr>
          <w:lang w:val="en-GB"/>
        </w:rPr>
        <w:t xml:space="preserve">he “PCI change only” solution </w:t>
      </w:r>
      <w:r w:rsidR="0040328C">
        <w:rPr>
          <w:lang w:val="en-GB"/>
        </w:rPr>
        <w:t>seems an attractive option</w:t>
      </w:r>
      <w:r w:rsidR="00F43429">
        <w:rPr>
          <w:lang w:val="en-GB"/>
        </w:rPr>
        <w:t>.</w:t>
      </w:r>
      <w:r w:rsidR="007B4D7A">
        <w:rPr>
          <w:lang w:val="en-GB"/>
        </w:rPr>
        <w:t xml:space="preserve"> It could be specified in addition to </w:t>
      </w:r>
      <w:r w:rsidR="007B4D7A" w:rsidRPr="007B4D7A">
        <w:rPr>
          <w:lang w:val="en-GB"/>
        </w:rPr>
        <w:t>“unchanged PCI</w:t>
      </w:r>
      <w:r w:rsidR="007B4D7A">
        <w:rPr>
          <w:lang w:val="en-GB"/>
        </w:rPr>
        <w:t xml:space="preserve">”, but the additional benefit of </w:t>
      </w:r>
      <w:r w:rsidR="007B4D7A" w:rsidRPr="007B4D7A">
        <w:rPr>
          <w:lang w:val="en-GB"/>
        </w:rPr>
        <w:t>“unchanged PCI”</w:t>
      </w:r>
      <w:r w:rsidR="007B4D7A">
        <w:rPr>
          <w:lang w:val="en-GB"/>
        </w:rPr>
        <w:t xml:space="preserve"> would be quite limited. We believe it would make more sense to rather specify the generic “PCI change only” solution instead.</w:t>
      </w:r>
    </w:p>
    <w:p w14:paraId="1C2228C4" w14:textId="02DB11C4" w:rsidR="00CC05D1" w:rsidRDefault="00CC05D1" w:rsidP="00CC05D1">
      <w:pPr>
        <w:pStyle w:val="Heading7"/>
      </w:pPr>
      <w:bookmarkStart w:id="9" w:name="_Ref134749493"/>
      <w:r>
        <w:t>Proposal</w:t>
      </w:r>
      <w:r w:rsidRPr="00AA0D4F">
        <w:rPr>
          <w:rFonts w:hint="eastAsia"/>
        </w:rPr>
        <w:t xml:space="preserve"> </w:t>
      </w:r>
      <w:r>
        <w:t>3</w:t>
      </w:r>
      <w:r w:rsidRPr="00AA0D4F">
        <w:rPr>
          <w:rFonts w:hint="eastAsia"/>
        </w:rPr>
        <w:t xml:space="preserve">: </w:t>
      </w:r>
      <w:r>
        <w:t>Adopt “</w:t>
      </w:r>
      <w:r>
        <w:rPr>
          <w:lang w:val="en-GB"/>
        </w:rPr>
        <w:t>PCI change only”</w:t>
      </w:r>
      <w:r w:rsidR="008334B0">
        <w:rPr>
          <w:lang w:val="en-GB"/>
        </w:rPr>
        <w:t xml:space="preserve"> </w:t>
      </w:r>
      <w:r w:rsidR="00E1415D">
        <w:rPr>
          <w:lang w:val="en-GB"/>
        </w:rPr>
        <w:t>approach instead</w:t>
      </w:r>
      <w:r>
        <w:rPr>
          <w:lang w:val="en-GB"/>
        </w:rPr>
        <w:t xml:space="preserve"> of </w:t>
      </w:r>
      <w:r w:rsidR="008334B0">
        <w:rPr>
          <w:lang w:val="en-GB"/>
        </w:rPr>
        <w:t>“</w:t>
      </w:r>
      <w:r w:rsidR="0040328C">
        <w:rPr>
          <w:lang w:val="en-GB"/>
        </w:rPr>
        <w:t>unchanged PC</w:t>
      </w:r>
      <w:r w:rsidR="008334B0">
        <w:rPr>
          <w:lang w:val="en-GB"/>
        </w:rPr>
        <w:t>I” approach</w:t>
      </w:r>
      <w:bookmarkEnd w:id="9"/>
      <w:r w:rsidR="0040328C">
        <w:t xml:space="preserve">  </w:t>
      </w:r>
    </w:p>
    <w:p w14:paraId="0220D154" w14:textId="77777777" w:rsidR="00954392" w:rsidRPr="00954392" w:rsidRDefault="00954392" w:rsidP="00954392"/>
    <w:p w14:paraId="44E444AA" w14:textId="77777777" w:rsidR="000552ED" w:rsidRPr="005B32D9" w:rsidRDefault="000552ED" w:rsidP="000552ED">
      <w:pPr>
        <w:pStyle w:val="Heading1"/>
        <w:rPr>
          <w:lang w:val="en-US"/>
        </w:rPr>
      </w:pPr>
      <w:r w:rsidRPr="005B32D9">
        <w:rPr>
          <w:lang w:val="en-US"/>
        </w:rPr>
        <w:t xml:space="preserve">Conclusion </w:t>
      </w:r>
    </w:p>
    <w:p w14:paraId="042AFF0F" w14:textId="7BA73A93"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28148275" w14:textId="6289420C" w:rsidR="00C92FAB" w:rsidRPr="00C92FAB" w:rsidRDefault="00C92FAB" w:rsidP="008510B7">
      <w:pPr>
        <w:jc w:val="both"/>
        <w:rPr>
          <w:b/>
          <w:bCs/>
          <w:lang w:eastAsia="ja-JP"/>
        </w:rPr>
      </w:pPr>
      <w:r w:rsidRPr="00C92FAB">
        <w:rPr>
          <w:b/>
          <w:bCs/>
          <w:lang w:eastAsia="ja-JP"/>
        </w:rPr>
        <w:fldChar w:fldCharType="begin"/>
      </w:r>
      <w:r w:rsidRPr="00C92FAB">
        <w:rPr>
          <w:b/>
          <w:bCs/>
          <w:lang w:eastAsia="ja-JP"/>
        </w:rPr>
        <w:instrText xml:space="preserve"> REF _Ref131780068 \h  \* MERGEFORMAT </w:instrText>
      </w:r>
      <w:r w:rsidRPr="00C92FAB">
        <w:rPr>
          <w:b/>
          <w:bCs/>
          <w:lang w:eastAsia="ja-JP"/>
        </w:rPr>
      </w:r>
      <w:r w:rsidRPr="00C92FAB">
        <w:rPr>
          <w:b/>
          <w:bCs/>
          <w:lang w:eastAsia="ja-JP"/>
        </w:rPr>
        <w:fldChar w:fldCharType="separate"/>
      </w:r>
      <w:r w:rsidR="00295246" w:rsidRPr="00295246">
        <w:rPr>
          <w:b/>
          <w:bCs/>
        </w:rPr>
        <w:t>Observation 1</w:t>
      </w:r>
      <w:r w:rsidR="00295246" w:rsidRPr="00295246">
        <w:rPr>
          <w:rFonts w:hint="eastAsia"/>
          <w:b/>
          <w:bCs/>
        </w:rPr>
        <w:t xml:space="preserve">: </w:t>
      </w:r>
      <w:r w:rsidR="00295246" w:rsidRPr="00295246">
        <w:rPr>
          <w:b/>
          <w:bCs/>
        </w:rPr>
        <w:t>“Reusing PCI after satellite changes” does not improve interruption time</w:t>
      </w:r>
      <w:r w:rsidRPr="00C92FAB">
        <w:rPr>
          <w:b/>
          <w:bCs/>
          <w:lang w:eastAsia="ja-JP"/>
        </w:rPr>
        <w:fldChar w:fldCharType="end"/>
      </w:r>
    </w:p>
    <w:p w14:paraId="100061F3" w14:textId="74A0E1FA" w:rsidR="00C92FAB" w:rsidRPr="00C92FAB" w:rsidRDefault="00C92FAB" w:rsidP="008510B7">
      <w:pPr>
        <w:jc w:val="both"/>
        <w:rPr>
          <w:b/>
          <w:bCs/>
          <w:lang w:eastAsia="ja-JP"/>
        </w:rPr>
      </w:pPr>
      <w:r w:rsidRPr="00C92FAB">
        <w:rPr>
          <w:b/>
          <w:bCs/>
          <w:lang w:eastAsia="ja-JP"/>
        </w:rPr>
        <w:fldChar w:fldCharType="begin"/>
      </w:r>
      <w:r w:rsidRPr="00C92FAB">
        <w:rPr>
          <w:b/>
          <w:bCs/>
          <w:lang w:eastAsia="ja-JP"/>
        </w:rPr>
        <w:instrText xml:space="preserve"> REF _Ref131780073 \h  \* MERGEFORMAT </w:instrText>
      </w:r>
      <w:r w:rsidRPr="00C92FAB">
        <w:rPr>
          <w:b/>
          <w:bCs/>
          <w:lang w:eastAsia="ja-JP"/>
        </w:rPr>
      </w:r>
      <w:r w:rsidRPr="00C92FAB">
        <w:rPr>
          <w:b/>
          <w:bCs/>
          <w:lang w:eastAsia="ja-JP"/>
        </w:rPr>
        <w:fldChar w:fldCharType="separate"/>
      </w:r>
      <w:r w:rsidR="00295246" w:rsidRPr="00295246">
        <w:rPr>
          <w:b/>
          <w:bCs/>
        </w:rPr>
        <w:t>Observation 2</w:t>
      </w:r>
      <w:r w:rsidR="00295246" w:rsidRPr="00295246">
        <w:rPr>
          <w:rFonts w:hint="eastAsia"/>
          <w:b/>
          <w:bCs/>
        </w:rPr>
        <w:t xml:space="preserve">: </w:t>
      </w:r>
      <w:r w:rsidR="00295246" w:rsidRPr="00295246">
        <w:rPr>
          <w:b/>
          <w:bCs/>
        </w:rPr>
        <w:t>“Reusing PCI after satellite changes” increases interruption time for Rel-17 UEs</w:t>
      </w:r>
      <w:r w:rsidRPr="00C92FAB">
        <w:rPr>
          <w:b/>
          <w:bCs/>
          <w:lang w:eastAsia="ja-JP"/>
        </w:rPr>
        <w:fldChar w:fldCharType="end"/>
      </w:r>
    </w:p>
    <w:p w14:paraId="7C60D97B" w14:textId="5E410D67" w:rsidR="00C92FAB" w:rsidRPr="00C92FAB" w:rsidRDefault="00C92FAB" w:rsidP="008510B7">
      <w:pPr>
        <w:jc w:val="both"/>
        <w:rPr>
          <w:b/>
          <w:bCs/>
          <w:lang w:eastAsia="ja-JP"/>
        </w:rPr>
      </w:pPr>
      <w:r w:rsidRPr="00C92FAB">
        <w:rPr>
          <w:b/>
          <w:bCs/>
          <w:lang w:eastAsia="ja-JP"/>
        </w:rPr>
        <w:fldChar w:fldCharType="begin"/>
      </w:r>
      <w:r w:rsidRPr="00C92FAB">
        <w:rPr>
          <w:b/>
          <w:bCs/>
          <w:lang w:eastAsia="ja-JP"/>
        </w:rPr>
        <w:instrText xml:space="preserve"> REF _Ref131780074 \h  \* MERGEFORMAT </w:instrText>
      </w:r>
      <w:r w:rsidRPr="00C92FAB">
        <w:rPr>
          <w:b/>
          <w:bCs/>
          <w:lang w:eastAsia="ja-JP"/>
        </w:rPr>
      </w:r>
      <w:r w:rsidRPr="00C92FAB">
        <w:rPr>
          <w:b/>
          <w:bCs/>
          <w:lang w:eastAsia="ja-JP"/>
        </w:rPr>
        <w:fldChar w:fldCharType="separate"/>
      </w:r>
      <w:r w:rsidR="00295246" w:rsidRPr="00295246">
        <w:rPr>
          <w:b/>
          <w:bCs/>
        </w:rPr>
        <w:t>Observation 3</w:t>
      </w:r>
      <w:r w:rsidR="00295246" w:rsidRPr="00295246">
        <w:rPr>
          <w:rFonts w:hint="eastAsia"/>
          <w:b/>
          <w:bCs/>
        </w:rPr>
        <w:t xml:space="preserve">: </w:t>
      </w:r>
      <w:r w:rsidR="00295246" w:rsidRPr="00295246">
        <w:rPr>
          <w:b/>
          <w:bCs/>
        </w:rPr>
        <w:t>A Rel-17 UE may not correctly resync the target cell in case of same cell handover</w:t>
      </w:r>
      <w:r w:rsidRPr="00C92FAB">
        <w:rPr>
          <w:b/>
          <w:bCs/>
          <w:lang w:eastAsia="ja-JP"/>
        </w:rPr>
        <w:fldChar w:fldCharType="end"/>
      </w:r>
    </w:p>
    <w:p w14:paraId="2F722A1C" w14:textId="008FD649" w:rsidR="00C92FAB" w:rsidRPr="00C92FAB" w:rsidRDefault="00C92FAB" w:rsidP="008510B7">
      <w:pPr>
        <w:jc w:val="both"/>
        <w:rPr>
          <w:b/>
          <w:bCs/>
          <w:lang w:eastAsia="ja-JP"/>
        </w:rPr>
      </w:pPr>
      <w:r w:rsidRPr="00C92FAB">
        <w:rPr>
          <w:b/>
          <w:bCs/>
          <w:lang w:eastAsia="ja-JP"/>
        </w:rPr>
        <w:fldChar w:fldCharType="begin"/>
      </w:r>
      <w:r w:rsidRPr="00C92FAB">
        <w:rPr>
          <w:b/>
          <w:bCs/>
          <w:lang w:eastAsia="ja-JP"/>
        </w:rPr>
        <w:instrText xml:space="preserve"> REF _Ref131780076 \h  \* MERGEFORMAT </w:instrText>
      </w:r>
      <w:r w:rsidRPr="00C92FAB">
        <w:rPr>
          <w:b/>
          <w:bCs/>
          <w:lang w:eastAsia="ja-JP"/>
        </w:rPr>
      </w:r>
      <w:r w:rsidRPr="00C92FAB">
        <w:rPr>
          <w:b/>
          <w:bCs/>
          <w:lang w:eastAsia="ja-JP"/>
        </w:rPr>
        <w:fldChar w:fldCharType="separate"/>
      </w:r>
      <w:r w:rsidR="00295246" w:rsidRPr="00295246">
        <w:rPr>
          <w:b/>
          <w:bCs/>
        </w:rPr>
        <w:t>Observation 4</w:t>
      </w:r>
      <w:r w:rsidR="00295246" w:rsidRPr="00295246">
        <w:rPr>
          <w:rFonts w:hint="eastAsia"/>
          <w:b/>
          <w:bCs/>
        </w:rPr>
        <w:t xml:space="preserve">: </w:t>
      </w:r>
      <w:r w:rsidR="00295246" w:rsidRPr="00295246">
        <w:rPr>
          <w:b/>
          <w:bCs/>
        </w:rPr>
        <w:t>The HO message to Rel-17 UE needs to be sent after any source cell SSB to prevent resync on the source cell</w:t>
      </w:r>
      <w:r w:rsidRPr="00C92FAB">
        <w:rPr>
          <w:b/>
          <w:bCs/>
          <w:lang w:eastAsia="ja-JP"/>
        </w:rPr>
        <w:fldChar w:fldCharType="end"/>
      </w:r>
    </w:p>
    <w:p w14:paraId="5552D5CA" w14:textId="611BF7B3" w:rsidR="00C92FAB" w:rsidRPr="00C92FAB" w:rsidRDefault="00C92FAB" w:rsidP="008510B7">
      <w:pPr>
        <w:jc w:val="both"/>
        <w:rPr>
          <w:b/>
          <w:bCs/>
          <w:lang w:eastAsia="ja-JP"/>
        </w:rPr>
      </w:pPr>
      <w:r w:rsidRPr="00C92FAB">
        <w:rPr>
          <w:b/>
          <w:bCs/>
          <w:lang w:eastAsia="ja-JP"/>
        </w:rPr>
        <w:fldChar w:fldCharType="begin"/>
      </w:r>
      <w:r w:rsidRPr="00C92FAB">
        <w:rPr>
          <w:b/>
          <w:bCs/>
          <w:lang w:eastAsia="ja-JP"/>
        </w:rPr>
        <w:instrText xml:space="preserve"> REF _Ref131780079 \h  \* MERGEFORMAT </w:instrText>
      </w:r>
      <w:r w:rsidRPr="00C92FAB">
        <w:rPr>
          <w:b/>
          <w:bCs/>
          <w:lang w:eastAsia="ja-JP"/>
        </w:rPr>
      </w:r>
      <w:r w:rsidRPr="00C92FAB">
        <w:rPr>
          <w:b/>
          <w:bCs/>
          <w:lang w:eastAsia="ja-JP"/>
        </w:rPr>
        <w:fldChar w:fldCharType="separate"/>
      </w:r>
      <w:r w:rsidR="00295246" w:rsidRPr="00295246">
        <w:rPr>
          <w:b/>
          <w:bCs/>
        </w:rPr>
        <w:t>Proposal</w:t>
      </w:r>
      <w:r w:rsidR="00295246" w:rsidRPr="00295246">
        <w:rPr>
          <w:rFonts w:hint="eastAsia"/>
          <w:b/>
          <w:bCs/>
        </w:rPr>
        <w:t xml:space="preserve"> </w:t>
      </w:r>
      <w:r w:rsidR="00295246" w:rsidRPr="00295246">
        <w:rPr>
          <w:b/>
          <w:bCs/>
        </w:rPr>
        <w:t>1</w:t>
      </w:r>
      <w:r w:rsidR="00295246" w:rsidRPr="00295246">
        <w:rPr>
          <w:rFonts w:hint="eastAsia"/>
          <w:b/>
          <w:bCs/>
        </w:rPr>
        <w:t xml:space="preserve">: </w:t>
      </w:r>
      <w:r w:rsidR="00295246" w:rsidRPr="00295246">
        <w:rPr>
          <w:b/>
          <w:bCs/>
        </w:rPr>
        <w:t xml:space="preserve">“Reusing PCI after satellite changes” should </w:t>
      </w:r>
      <w:proofErr w:type="gramStart"/>
      <w:r w:rsidR="00295246" w:rsidRPr="00295246">
        <w:rPr>
          <w:b/>
          <w:bCs/>
        </w:rPr>
        <w:t>take into account</w:t>
      </w:r>
      <w:proofErr w:type="gramEnd"/>
      <w:r w:rsidR="00295246" w:rsidRPr="00295246">
        <w:rPr>
          <w:b/>
          <w:bCs/>
        </w:rPr>
        <w:t xml:space="preserve"> possible impact on Rel-17 UEs</w:t>
      </w:r>
      <w:r w:rsidRPr="00C92FAB">
        <w:rPr>
          <w:b/>
          <w:bCs/>
          <w:lang w:eastAsia="ja-JP"/>
        </w:rPr>
        <w:fldChar w:fldCharType="end"/>
      </w:r>
    </w:p>
    <w:p w14:paraId="19E464CA" w14:textId="7C59F710" w:rsidR="00C92FAB" w:rsidRPr="00C92FAB" w:rsidRDefault="00C92FAB" w:rsidP="008510B7">
      <w:pPr>
        <w:jc w:val="both"/>
        <w:rPr>
          <w:b/>
          <w:bCs/>
          <w:lang w:eastAsia="ja-JP"/>
        </w:rPr>
      </w:pPr>
      <w:r w:rsidRPr="00C92FAB">
        <w:rPr>
          <w:b/>
          <w:bCs/>
          <w:lang w:eastAsia="ja-JP"/>
        </w:rPr>
        <w:fldChar w:fldCharType="begin"/>
      </w:r>
      <w:r w:rsidRPr="00C92FAB">
        <w:rPr>
          <w:b/>
          <w:bCs/>
          <w:lang w:eastAsia="ja-JP"/>
        </w:rPr>
        <w:instrText xml:space="preserve"> REF _Ref127548756 \h  \* MERGEFORMAT </w:instrText>
      </w:r>
      <w:r w:rsidRPr="00C92FAB">
        <w:rPr>
          <w:b/>
          <w:bCs/>
          <w:lang w:eastAsia="ja-JP"/>
        </w:rPr>
      </w:r>
      <w:r w:rsidRPr="00C92FAB">
        <w:rPr>
          <w:b/>
          <w:bCs/>
          <w:lang w:eastAsia="ja-JP"/>
        </w:rPr>
        <w:fldChar w:fldCharType="separate"/>
      </w:r>
      <w:r w:rsidR="00295246" w:rsidRPr="00295246">
        <w:rPr>
          <w:b/>
          <w:bCs/>
        </w:rPr>
        <w:t>Proposal</w:t>
      </w:r>
      <w:r w:rsidR="00295246" w:rsidRPr="00295246">
        <w:rPr>
          <w:rFonts w:hint="eastAsia"/>
          <w:b/>
          <w:bCs/>
        </w:rPr>
        <w:t xml:space="preserve"> </w:t>
      </w:r>
      <w:r w:rsidR="00295246" w:rsidRPr="00295246">
        <w:rPr>
          <w:b/>
          <w:bCs/>
        </w:rPr>
        <w:t>2</w:t>
      </w:r>
      <w:r w:rsidR="00295246" w:rsidRPr="00295246">
        <w:rPr>
          <w:rFonts w:hint="eastAsia"/>
          <w:b/>
          <w:bCs/>
        </w:rPr>
        <w:t xml:space="preserve">: </w:t>
      </w:r>
      <w:r w:rsidR="00295246" w:rsidRPr="00295246">
        <w:rPr>
          <w:b/>
          <w:bCs/>
        </w:rPr>
        <w:t xml:space="preserve">Broadcast the </w:t>
      </w:r>
      <w:r w:rsidR="00295246" w:rsidRPr="00295246">
        <w:rPr>
          <w:b/>
          <w:bCs/>
          <w:lang w:val="en-GB"/>
        </w:rPr>
        <w:t>“next NTN-config” of the serving cell, to be used by the UE after</w:t>
      </w:r>
      <w:r w:rsidR="00295246" w:rsidRPr="00295246">
        <w:rPr>
          <w:b/>
          <w:bCs/>
        </w:rPr>
        <w:t xml:space="preserve"> the service link switch </w:t>
      </w:r>
      <w:r w:rsidRPr="00C92FAB">
        <w:rPr>
          <w:b/>
          <w:bCs/>
          <w:lang w:eastAsia="ja-JP"/>
        </w:rPr>
        <w:fldChar w:fldCharType="end"/>
      </w:r>
    </w:p>
    <w:p w14:paraId="7007D231" w14:textId="0076C25D" w:rsidR="009F13AA" w:rsidRPr="00360130" w:rsidRDefault="002138B0" w:rsidP="008510B7">
      <w:pPr>
        <w:jc w:val="both"/>
        <w:rPr>
          <w:b/>
          <w:bCs/>
          <w:lang w:eastAsia="ja-JP"/>
        </w:rPr>
      </w:pPr>
      <w:r w:rsidRPr="00360130">
        <w:rPr>
          <w:b/>
          <w:bCs/>
          <w:lang w:eastAsia="ja-JP"/>
        </w:rPr>
        <w:fldChar w:fldCharType="begin"/>
      </w:r>
      <w:r w:rsidRPr="00360130">
        <w:rPr>
          <w:b/>
          <w:bCs/>
          <w:lang w:eastAsia="ja-JP"/>
        </w:rPr>
        <w:instrText xml:space="preserve"> REF _Ref134749493 \h  \* MERGEFORMAT </w:instrText>
      </w:r>
      <w:r w:rsidRPr="00360130">
        <w:rPr>
          <w:b/>
          <w:bCs/>
          <w:lang w:eastAsia="ja-JP"/>
        </w:rPr>
      </w:r>
      <w:r w:rsidRPr="00360130">
        <w:rPr>
          <w:b/>
          <w:bCs/>
          <w:lang w:eastAsia="ja-JP"/>
        </w:rPr>
        <w:fldChar w:fldCharType="separate"/>
      </w:r>
      <w:r w:rsidR="00BA5512" w:rsidRPr="00BA5512">
        <w:rPr>
          <w:b/>
          <w:bCs/>
        </w:rPr>
        <w:t>Proposal</w:t>
      </w:r>
      <w:r w:rsidR="00BA5512" w:rsidRPr="00BA5512">
        <w:rPr>
          <w:rFonts w:hint="eastAsia"/>
          <w:b/>
          <w:bCs/>
        </w:rPr>
        <w:t xml:space="preserve"> </w:t>
      </w:r>
      <w:r w:rsidR="00BA5512" w:rsidRPr="00BA5512">
        <w:rPr>
          <w:b/>
          <w:bCs/>
        </w:rPr>
        <w:t>3</w:t>
      </w:r>
      <w:r w:rsidR="00BA5512" w:rsidRPr="00BA5512">
        <w:rPr>
          <w:rFonts w:hint="eastAsia"/>
          <w:b/>
          <w:bCs/>
        </w:rPr>
        <w:t xml:space="preserve">: </w:t>
      </w:r>
      <w:r w:rsidR="00BA5512" w:rsidRPr="00BA5512">
        <w:rPr>
          <w:b/>
          <w:bCs/>
        </w:rPr>
        <w:t>Adopt “</w:t>
      </w:r>
      <w:r w:rsidR="00BA5512" w:rsidRPr="00BA5512">
        <w:rPr>
          <w:b/>
          <w:bCs/>
          <w:lang w:val="en-GB"/>
        </w:rPr>
        <w:t>PCI change only” approach instead of “unchanged PCI” approach</w:t>
      </w:r>
      <w:r w:rsidRPr="00360130">
        <w:rPr>
          <w:b/>
          <w:bCs/>
          <w:lang w:eastAsia="ja-JP"/>
        </w:rPr>
        <w:fldChar w:fldCharType="end"/>
      </w:r>
    </w:p>
    <w:p w14:paraId="47ABC574" w14:textId="77777777" w:rsidR="0004460A" w:rsidRPr="0004460A" w:rsidRDefault="0004460A" w:rsidP="0004460A">
      <w:pPr>
        <w:keepNext/>
        <w:keepLines/>
        <w:pBdr>
          <w:top w:val="single" w:sz="12" w:space="3" w:color="auto"/>
        </w:pBdr>
        <w:tabs>
          <w:tab w:val="num" w:pos="432"/>
        </w:tabs>
        <w:spacing w:before="240"/>
        <w:ind w:left="432" w:hanging="432"/>
        <w:outlineLvl w:val="0"/>
        <w:rPr>
          <w:rFonts w:ascii="Arial" w:hAnsi="Arial"/>
          <w:sz w:val="36"/>
        </w:rPr>
      </w:pPr>
      <w:bookmarkStart w:id="10" w:name="_Hlk127541667"/>
      <w:r w:rsidRPr="0004460A">
        <w:rPr>
          <w:rFonts w:ascii="Arial" w:hAnsi="Arial"/>
          <w:sz w:val="36"/>
        </w:rPr>
        <w:t>References</w:t>
      </w:r>
    </w:p>
    <w:p w14:paraId="58E43AFB" w14:textId="56370EC9" w:rsidR="00913E35" w:rsidRPr="002F3FEF" w:rsidRDefault="00913E35" w:rsidP="002F3FEF">
      <w:pPr>
        <w:numPr>
          <w:ilvl w:val="0"/>
          <w:numId w:val="25"/>
        </w:numPr>
        <w:overflowPunct w:val="0"/>
        <w:autoSpaceDE w:val="0"/>
        <w:autoSpaceDN w:val="0"/>
        <w:adjustRightInd w:val="0"/>
        <w:textAlignment w:val="baseline"/>
      </w:pPr>
      <w:bookmarkStart w:id="11" w:name="_Ref131776756"/>
      <w:bookmarkEnd w:id="10"/>
      <w:r w:rsidRPr="00913E35">
        <w:t>R2-2301269</w:t>
      </w:r>
      <w:r>
        <w:t>, “</w:t>
      </w:r>
      <w:r w:rsidRPr="00913E35">
        <w:rPr>
          <w:i/>
          <w:iCs/>
        </w:rPr>
        <w:t>Service Link Switching with PCI unchanged</w:t>
      </w:r>
      <w:r>
        <w:t>”,</w:t>
      </w:r>
      <w:r w:rsidRPr="00913E35">
        <w:t xml:space="preserve"> </w:t>
      </w:r>
      <w:proofErr w:type="spellStart"/>
      <w:r w:rsidRPr="00913E35">
        <w:t>CMCC,CATT,Huawei,HiSilicon,Lenovo,vivo</w:t>
      </w:r>
      <w:bookmarkEnd w:id="11"/>
      <w:proofErr w:type="spellEnd"/>
    </w:p>
    <w:p w14:paraId="0252CFA6" w14:textId="77777777" w:rsidR="0004460A" w:rsidRPr="0043739D" w:rsidRDefault="0004460A" w:rsidP="0043739D">
      <w:pPr>
        <w:jc w:val="both"/>
        <w:rPr>
          <w:b/>
          <w:bCs/>
          <w:lang w:eastAsia="ja-JP"/>
        </w:rPr>
      </w:pPr>
    </w:p>
    <w:sectPr w:rsidR="0004460A" w:rsidRPr="0043739D"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6F2F9" w14:textId="77777777" w:rsidR="00D34685" w:rsidRDefault="00D34685">
      <w:r>
        <w:separator/>
      </w:r>
    </w:p>
  </w:endnote>
  <w:endnote w:type="continuationSeparator" w:id="0">
    <w:p w14:paraId="3A91CC1B" w14:textId="77777777" w:rsidR="00D34685" w:rsidRDefault="00D3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43E6A" w14:textId="77777777" w:rsidR="00D34685" w:rsidRDefault="00D34685">
      <w:r>
        <w:separator/>
      </w:r>
    </w:p>
  </w:footnote>
  <w:footnote w:type="continuationSeparator" w:id="0">
    <w:p w14:paraId="443DC9E5" w14:textId="77777777" w:rsidR="00D34685" w:rsidRDefault="00D346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22D1DC8"/>
    <w:multiLevelType w:val="hybridMultilevel"/>
    <w:tmpl w:val="70701A54"/>
    <w:lvl w:ilvl="0" w:tplc="4A9813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36B23"/>
    <w:multiLevelType w:val="hybridMultilevel"/>
    <w:tmpl w:val="122451FA"/>
    <w:lvl w:ilvl="0" w:tplc="73F638F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4E7"/>
    <w:multiLevelType w:val="hybridMultilevel"/>
    <w:tmpl w:val="894CBB1E"/>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23C89"/>
    <w:multiLevelType w:val="hybridMultilevel"/>
    <w:tmpl w:val="09FED9E2"/>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845A3"/>
    <w:multiLevelType w:val="hybridMultilevel"/>
    <w:tmpl w:val="B44091E2"/>
    <w:lvl w:ilvl="0" w:tplc="9C0ABAB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98560B"/>
    <w:multiLevelType w:val="hybridMultilevel"/>
    <w:tmpl w:val="61045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47B5D"/>
    <w:multiLevelType w:val="hybridMultilevel"/>
    <w:tmpl w:val="DE480D3A"/>
    <w:lvl w:ilvl="0" w:tplc="FCC4A6A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8617DEC"/>
    <w:multiLevelType w:val="hybridMultilevel"/>
    <w:tmpl w:val="21B0A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B31302"/>
    <w:multiLevelType w:val="hybridMultilevel"/>
    <w:tmpl w:val="BF86EAF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6014C9"/>
    <w:multiLevelType w:val="hybridMultilevel"/>
    <w:tmpl w:val="2A58BEEA"/>
    <w:lvl w:ilvl="0" w:tplc="1408DE4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FA632C"/>
    <w:multiLevelType w:val="hybridMultilevel"/>
    <w:tmpl w:val="A4223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B986930"/>
    <w:multiLevelType w:val="hybridMultilevel"/>
    <w:tmpl w:val="B4942B52"/>
    <w:lvl w:ilvl="0" w:tplc="E00A77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65297B"/>
    <w:multiLevelType w:val="hybridMultilevel"/>
    <w:tmpl w:val="0A88666A"/>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8D4D13"/>
    <w:multiLevelType w:val="hybridMultilevel"/>
    <w:tmpl w:val="0884F6C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982EC4"/>
    <w:multiLevelType w:val="hybridMultilevel"/>
    <w:tmpl w:val="A464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DD38A9"/>
    <w:multiLevelType w:val="hybridMultilevel"/>
    <w:tmpl w:val="F112E4C6"/>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3D5FB9"/>
    <w:multiLevelType w:val="hybridMultilevel"/>
    <w:tmpl w:val="B2D65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49320A"/>
    <w:multiLevelType w:val="hybridMultilevel"/>
    <w:tmpl w:val="E3F01C3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D5559"/>
    <w:multiLevelType w:val="hybridMultilevel"/>
    <w:tmpl w:val="C9100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962808">
    <w:abstractNumId w:val="14"/>
  </w:num>
  <w:num w:numId="2" w16cid:durableId="76833372">
    <w:abstractNumId w:val="22"/>
  </w:num>
  <w:num w:numId="3" w16cid:durableId="2082825852">
    <w:abstractNumId w:val="27"/>
  </w:num>
  <w:num w:numId="4" w16cid:durableId="157775281">
    <w:abstractNumId w:val="12"/>
  </w:num>
  <w:num w:numId="5" w16cid:durableId="1805999360">
    <w:abstractNumId w:val="8"/>
  </w:num>
  <w:num w:numId="6" w16cid:durableId="1078985014">
    <w:abstractNumId w:val="5"/>
  </w:num>
  <w:num w:numId="7" w16cid:durableId="347832074">
    <w:abstractNumId w:val="24"/>
  </w:num>
  <w:num w:numId="8" w16cid:durableId="1535531686">
    <w:abstractNumId w:val="13"/>
  </w:num>
  <w:num w:numId="9" w16cid:durableId="627929095">
    <w:abstractNumId w:val="6"/>
  </w:num>
  <w:num w:numId="10" w16cid:durableId="1944604180">
    <w:abstractNumId w:val="9"/>
  </w:num>
  <w:num w:numId="11" w16cid:durableId="1152991577">
    <w:abstractNumId w:val="30"/>
  </w:num>
  <w:num w:numId="12" w16cid:durableId="1109471788">
    <w:abstractNumId w:val="18"/>
  </w:num>
  <w:num w:numId="13" w16cid:durableId="1309284776">
    <w:abstractNumId w:val="25"/>
  </w:num>
  <w:num w:numId="14" w16cid:durableId="1674870175">
    <w:abstractNumId w:val="15"/>
  </w:num>
  <w:num w:numId="15" w16cid:durableId="1257863371">
    <w:abstractNumId w:val="28"/>
  </w:num>
  <w:num w:numId="16" w16cid:durableId="1748528998">
    <w:abstractNumId w:val="11"/>
  </w:num>
  <w:num w:numId="17" w16cid:durableId="688412725">
    <w:abstractNumId w:val="2"/>
  </w:num>
  <w:num w:numId="18" w16cid:durableId="718362388">
    <w:abstractNumId w:val="20"/>
  </w:num>
  <w:num w:numId="19" w16cid:durableId="1446198147">
    <w:abstractNumId w:val="7"/>
  </w:num>
  <w:num w:numId="20" w16cid:durableId="60912961">
    <w:abstractNumId w:val="17"/>
  </w:num>
  <w:num w:numId="21" w16cid:durableId="1566180429">
    <w:abstractNumId w:val="26"/>
  </w:num>
  <w:num w:numId="22" w16cid:durableId="137577222">
    <w:abstractNumId w:val="29"/>
  </w:num>
  <w:num w:numId="23" w16cid:durableId="908921185">
    <w:abstractNumId w:val="3"/>
  </w:num>
  <w:num w:numId="24" w16cid:durableId="484131321">
    <w:abstractNumId w:val="1"/>
  </w:num>
  <w:num w:numId="25" w16cid:durableId="1343781515">
    <w:abstractNumId w:val="19"/>
  </w:num>
  <w:num w:numId="26" w16cid:durableId="815299604">
    <w:abstractNumId w:val="16"/>
  </w:num>
  <w:num w:numId="27" w16cid:durableId="56440882">
    <w:abstractNumId w:val="4"/>
  </w:num>
  <w:num w:numId="28" w16cid:durableId="1555849895">
    <w:abstractNumId w:val="21"/>
  </w:num>
  <w:num w:numId="29" w16cid:durableId="1257209765">
    <w:abstractNumId w:val="10"/>
  </w:num>
  <w:num w:numId="30" w16cid:durableId="1596480283">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2DA"/>
    <w:rsid w:val="00022A54"/>
    <w:rsid w:val="00023990"/>
    <w:rsid w:val="000239F5"/>
    <w:rsid w:val="00023AE6"/>
    <w:rsid w:val="0002423C"/>
    <w:rsid w:val="00024374"/>
    <w:rsid w:val="000246F5"/>
    <w:rsid w:val="000248EA"/>
    <w:rsid w:val="00024BF2"/>
    <w:rsid w:val="00026149"/>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553"/>
    <w:rsid w:val="000317A7"/>
    <w:rsid w:val="00031A07"/>
    <w:rsid w:val="00031AFD"/>
    <w:rsid w:val="0003262E"/>
    <w:rsid w:val="0003270F"/>
    <w:rsid w:val="00032846"/>
    <w:rsid w:val="00032C05"/>
    <w:rsid w:val="00032C8E"/>
    <w:rsid w:val="000332DA"/>
    <w:rsid w:val="0003352E"/>
    <w:rsid w:val="0003375A"/>
    <w:rsid w:val="00033AB9"/>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0A"/>
    <w:rsid w:val="000446A4"/>
    <w:rsid w:val="000447AF"/>
    <w:rsid w:val="0004511D"/>
    <w:rsid w:val="00045318"/>
    <w:rsid w:val="00045B6F"/>
    <w:rsid w:val="00046088"/>
    <w:rsid w:val="000460E6"/>
    <w:rsid w:val="000466A9"/>
    <w:rsid w:val="000468F6"/>
    <w:rsid w:val="00046D19"/>
    <w:rsid w:val="000474AA"/>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6AC0"/>
    <w:rsid w:val="00067833"/>
    <w:rsid w:val="00067D5B"/>
    <w:rsid w:val="00067F29"/>
    <w:rsid w:val="00070561"/>
    <w:rsid w:val="00070ECC"/>
    <w:rsid w:val="00071C47"/>
    <w:rsid w:val="00071CD0"/>
    <w:rsid w:val="00072661"/>
    <w:rsid w:val="00072747"/>
    <w:rsid w:val="00072783"/>
    <w:rsid w:val="0007357B"/>
    <w:rsid w:val="000735EC"/>
    <w:rsid w:val="000737DA"/>
    <w:rsid w:val="00074DB9"/>
    <w:rsid w:val="0007555F"/>
    <w:rsid w:val="000755A6"/>
    <w:rsid w:val="0007565B"/>
    <w:rsid w:val="00075BB4"/>
    <w:rsid w:val="00075C0A"/>
    <w:rsid w:val="00075F81"/>
    <w:rsid w:val="000760DF"/>
    <w:rsid w:val="000767B3"/>
    <w:rsid w:val="00076CFC"/>
    <w:rsid w:val="00077B74"/>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41A8"/>
    <w:rsid w:val="00084301"/>
    <w:rsid w:val="0008452A"/>
    <w:rsid w:val="00084A47"/>
    <w:rsid w:val="00084B17"/>
    <w:rsid w:val="00084BE4"/>
    <w:rsid w:val="0008544F"/>
    <w:rsid w:val="0008553E"/>
    <w:rsid w:val="000856FC"/>
    <w:rsid w:val="00085941"/>
    <w:rsid w:val="00085A24"/>
    <w:rsid w:val="00085C24"/>
    <w:rsid w:val="00085DB7"/>
    <w:rsid w:val="00085E90"/>
    <w:rsid w:val="000864C4"/>
    <w:rsid w:val="00086609"/>
    <w:rsid w:val="0008674D"/>
    <w:rsid w:val="0008682B"/>
    <w:rsid w:val="00086E82"/>
    <w:rsid w:val="000871F4"/>
    <w:rsid w:val="00090399"/>
    <w:rsid w:val="00090495"/>
    <w:rsid w:val="00090BB8"/>
    <w:rsid w:val="00092919"/>
    <w:rsid w:val="00092DCA"/>
    <w:rsid w:val="00093163"/>
    <w:rsid w:val="0009349A"/>
    <w:rsid w:val="000937D2"/>
    <w:rsid w:val="00093A11"/>
    <w:rsid w:val="00093DD2"/>
    <w:rsid w:val="000940C0"/>
    <w:rsid w:val="0009461E"/>
    <w:rsid w:val="00094BFC"/>
    <w:rsid w:val="00094C32"/>
    <w:rsid w:val="00094C92"/>
    <w:rsid w:val="00094FFF"/>
    <w:rsid w:val="000952C2"/>
    <w:rsid w:val="0009537B"/>
    <w:rsid w:val="00095EDB"/>
    <w:rsid w:val="00096E8C"/>
    <w:rsid w:val="00097082"/>
    <w:rsid w:val="000972E8"/>
    <w:rsid w:val="0009752A"/>
    <w:rsid w:val="00097966"/>
    <w:rsid w:val="00097E44"/>
    <w:rsid w:val="000A038D"/>
    <w:rsid w:val="000A0A3D"/>
    <w:rsid w:val="000A0DDB"/>
    <w:rsid w:val="000A1326"/>
    <w:rsid w:val="000A13D0"/>
    <w:rsid w:val="000A1400"/>
    <w:rsid w:val="000A1893"/>
    <w:rsid w:val="000A2153"/>
    <w:rsid w:val="000A24EF"/>
    <w:rsid w:val="000A2A53"/>
    <w:rsid w:val="000A2AC9"/>
    <w:rsid w:val="000A2D07"/>
    <w:rsid w:val="000A31EE"/>
    <w:rsid w:val="000A343E"/>
    <w:rsid w:val="000A3A69"/>
    <w:rsid w:val="000A420B"/>
    <w:rsid w:val="000A4251"/>
    <w:rsid w:val="000A44CD"/>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A5E"/>
    <w:rsid w:val="000E7792"/>
    <w:rsid w:val="000F04AA"/>
    <w:rsid w:val="000F06B4"/>
    <w:rsid w:val="000F0B5F"/>
    <w:rsid w:val="000F0B8E"/>
    <w:rsid w:val="000F0E0B"/>
    <w:rsid w:val="000F121D"/>
    <w:rsid w:val="000F17FB"/>
    <w:rsid w:val="000F1864"/>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5312"/>
    <w:rsid w:val="00116046"/>
    <w:rsid w:val="00116865"/>
    <w:rsid w:val="00116F42"/>
    <w:rsid w:val="00116F74"/>
    <w:rsid w:val="00117337"/>
    <w:rsid w:val="001176B7"/>
    <w:rsid w:val="00117FA8"/>
    <w:rsid w:val="0012027C"/>
    <w:rsid w:val="00120DDC"/>
    <w:rsid w:val="0012115F"/>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613"/>
    <w:rsid w:val="001507B4"/>
    <w:rsid w:val="00150DC5"/>
    <w:rsid w:val="00150ECA"/>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3D25"/>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98E"/>
    <w:rsid w:val="00190BA8"/>
    <w:rsid w:val="00190F12"/>
    <w:rsid w:val="001911EB"/>
    <w:rsid w:val="0019173E"/>
    <w:rsid w:val="00192293"/>
    <w:rsid w:val="001925A9"/>
    <w:rsid w:val="00192BD6"/>
    <w:rsid w:val="00193142"/>
    <w:rsid w:val="00193747"/>
    <w:rsid w:val="00193921"/>
    <w:rsid w:val="001941D9"/>
    <w:rsid w:val="0019472B"/>
    <w:rsid w:val="0019475E"/>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3A4"/>
    <w:rsid w:val="001A6604"/>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1"/>
    <w:rsid w:val="001B6982"/>
    <w:rsid w:val="001B6B77"/>
    <w:rsid w:val="001B770C"/>
    <w:rsid w:val="001B783E"/>
    <w:rsid w:val="001B79C5"/>
    <w:rsid w:val="001B7BBE"/>
    <w:rsid w:val="001C04B0"/>
    <w:rsid w:val="001C04B6"/>
    <w:rsid w:val="001C086D"/>
    <w:rsid w:val="001C146A"/>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B19"/>
    <w:rsid w:val="001E1C0D"/>
    <w:rsid w:val="001E1F4C"/>
    <w:rsid w:val="001E21F7"/>
    <w:rsid w:val="001E242E"/>
    <w:rsid w:val="001E2DE2"/>
    <w:rsid w:val="001E2F8F"/>
    <w:rsid w:val="001E317B"/>
    <w:rsid w:val="001E31EE"/>
    <w:rsid w:val="001E443A"/>
    <w:rsid w:val="001E464D"/>
    <w:rsid w:val="001E4724"/>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EF5"/>
    <w:rsid w:val="001F4F76"/>
    <w:rsid w:val="001F4FEF"/>
    <w:rsid w:val="001F5919"/>
    <w:rsid w:val="001F5A12"/>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4068"/>
    <w:rsid w:val="002051BF"/>
    <w:rsid w:val="00205462"/>
    <w:rsid w:val="002061A6"/>
    <w:rsid w:val="002064D1"/>
    <w:rsid w:val="002069A6"/>
    <w:rsid w:val="00206B0D"/>
    <w:rsid w:val="00206E55"/>
    <w:rsid w:val="00207250"/>
    <w:rsid w:val="0020748E"/>
    <w:rsid w:val="00207564"/>
    <w:rsid w:val="0020768E"/>
    <w:rsid w:val="002076F3"/>
    <w:rsid w:val="00207A62"/>
    <w:rsid w:val="00207B06"/>
    <w:rsid w:val="0021032E"/>
    <w:rsid w:val="002105DE"/>
    <w:rsid w:val="0021083C"/>
    <w:rsid w:val="00211030"/>
    <w:rsid w:val="002110E9"/>
    <w:rsid w:val="0021172D"/>
    <w:rsid w:val="00211EF7"/>
    <w:rsid w:val="00212170"/>
    <w:rsid w:val="002121D7"/>
    <w:rsid w:val="002127E6"/>
    <w:rsid w:val="0021293B"/>
    <w:rsid w:val="00213766"/>
    <w:rsid w:val="002138B0"/>
    <w:rsid w:val="002142D2"/>
    <w:rsid w:val="0021443F"/>
    <w:rsid w:val="00215A44"/>
    <w:rsid w:val="00215A75"/>
    <w:rsid w:val="00215DBC"/>
    <w:rsid w:val="00215E19"/>
    <w:rsid w:val="00216276"/>
    <w:rsid w:val="00216787"/>
    <w:rsid w:val="00216E44"/>
    <w:rsid w:val="00217556"/>
    <w:rsid w:val="002175F8"/>
    <w:rsid w:val="002176E5"/>
    <w:rsid w:val="002179DE"/>
    <w:rsid w:val="00217A9F"/>
    <w:rsid w:val="00220239"/>
    <w:rsid w:val="0022030C"/>
    <w:rsid w:val="00221469"/>
    <w:rsid w:val="00221513"/>
    <w:rsid w:val="002215F8"/>
    <w:rsid w:val="002216E6"/>
    <w:rsid w:val="0022252C"/>
    <w:rsid w:val="002225ED"/>
    <w:rsid w:val="00222870"/>
    <w:rsid w:val="00222B31"/>
    <w:rsid w:val="00222C40"/>
    <w:rsid w:val="002233D8"/>
    <w:rsid w:val="00223711"/>
    <w:rsid w:val="00223CDF"/>
    <w:rsid w:val="002247C0"/>
    <w:rsid w:val="00224829"/>
    <w:rsid w:val="00224E55"/>
    <w:rsid w:val="002255A0"/>
    <w:rsid w:val="00226020"/>
    <w:rsid w:val="00226107"/>
    <w:rsid w:val="0022618A"/>
    <w:rsid w:val="002261FC"/>
    <w:rsid w:val="002265E8"/>
    <w:rsid w:val="00226621"/>
    <w:rsid w:val="00226858"/>
    <w:rsid w:val="00226CB1"/>
    <w:rsid w:val="00226CED"/>
    <w:rsid w:val="00226FFB"/>
    <w:rsid w:val="002278ED"/>
    <w:rsid w:val="00227981"/>
    <w:rsid w:val="00230C94"/>
    <w:rsid w:val="00230DDD"/>
    <w:rsid w:val="00230EB7"/>
    <w:rsid w:val="00230EC6"/>
    <w:rsid w:val="00230F45"/>
    <w:rsid w:val="00231076"/>
    <w:rsid w:val="002310AF"/>
    <w:rsid w:val="00231435"/>
    <w:rsid w:val="002322F6"/>
    <w:rsid w:val="00232617"/>
    <w:rsid w:val="0023268F"/>
    <w:rsid w:val="002332B7"/>
    <w:rsid w:val="002335FF"/>
    <w:rsid w:val="0023443B"/>
    <w:rsid w:val="00234C5F"/>
    <w:rsid w:val="002354E4"/>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1A65"/>
    <w:rsid w:val="00242173"/>
    <w:rsid w:val="002424C0"/>
    <w:rsid w:val="0024282D"/>
    <w:rsid w:val="00243641"/>
    <w:rsid w:val="002437DD"/>
    <w:rsid w:val="00244113"/>
    <w:rsid w:val="00244A5B"/>
    <w:rsid w:val="00244D50"/>
    <w:rsid w:val="00244F0C"/>
    <w:rsid w:val="00245579"/>
    <w:rsid w:val="00245D0A"/>
    <w:rsid w:val="002461C3"/>
    <w:rsid w:val="00246D30"/>
    <w:rsid w:val="00246D97"/>
    <w:rsid w:val="00246F65"/>
    <w:rsid w:val="0024708E"/>
    <w:rsid w:val="002470BC"/>
    <w:rsid w:val="00247216"/>
    <w:rsid w:val="002474A3"/>
    <w:rsid w:val="002479E3"/>
    <w:rsid w:val="00247D1A"/>
    <w:rsid w:val="00250815"/>
    <w:rsid w:val="002514E8"/>
    <w:rsid w:val="002515C0"/>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469"/>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9FE"/>
    <w:rsid w:val="00273AA6"/>
    <w:rsid w:val="00273C51"/>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4A"/>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87EF7"/>
    <w:rsid w:val="00290139"/>
    <w:rsid w:val="0029040B"/>
    <w:rsid w:val="00290A89"/>
    <w:rsid w:val="00290B2A"/>
    <w:rsid w:val="00291427"/>
    <w:rsid w:val="00292022"/>
    <w:rsid w:val="002920A0"/>
    <w:rsid w:val="002921C4"/>
    <w:rsid w:val="0029242D"/>
    <w:rsid w:val="002927D1"/>
    <w:rsid w:val="002932EC"/>
    <w:rsid w:val="0029383D"/>
    <w:rsid w:val="00293AA7"/>
    <w:rsid w:val="00293D77"/>
    <w:rsid w:val="002942BC"/>
    <w:rsid w:val="002943B5"/>
    <w:rsid w:val="0029451A"/>
    <w:rsid w:val="002945ED"/>
    <w:rsid w:val="00294F03"/>
    <w:rsid w:val="00295246"/>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916"/>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C3A"/>
    <w:rsid w:val="002C02E5"/>
    <w:rsid w:val="002C034B"/>
    <w:rsid w:val="002C045E"/>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3C9"/>
    <w:rsid w:val="002D4855"/>
    <w:rsid w:val="002D4919"/>
    <w:rsid w:val="002D4A80"/>
    <w:rsid w:val="002D5253"/>
    <w:rsid w:val="002D5DDD"/>
    <w:rsid w:val="002D74E0"/>
    <w:rsid w:val="002D7565"/>
    <w:rsid w:val="002D77C3"/>
    <w:rsid w:val="002E02A6"/>
    <w:rsid w:val="002E0337"/>
    <w:rsid w:val="002E0B53"/>
    <w:rsid w:val="002E0BDD"/>
    <w:rsid w:val="002E10D7"/>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3FE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5DAC"/>
    <w:rsid w:val="00306465"/>
    <w:rsid w:val="0030648A"/>
    <w:rsid w:val="00306A66"/>
    <w:rsid w:val="00306BCE"/>
    <w:rsid w:val="00306F18"/>
    <w:rsid w:val="00307DA2"/>
    <w:rsid w:val="003101D6"/>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4E3"/>
    <w:rsid w:val="003209A6"/>
    <w:rsid w:val="00320A4F"/>
    <w:rsid w:val="0032164B"/>
    <w:rsid w:val="0032212B"/>
    <w:rsid w:val="0032299A"/>
    <w:rsid w:val="00322EBD"/>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20A"/>
    <w:rsid w:val="003453D9"/>
    <w:rsid w:val="0034548A"/>
    <w:rsid w:val="00345A7D"/>
    <w:rsid w:val="00345CDD"/>
    <w:rsid w:val="00345FF9"/>
    <w:rsid w:val="0034613F"/>
    <w:rsid w:val="003467B6"/>
    <w:rsid w:val="0034681B"/>
    <w:rsid w:val="00346ED3"/>
    <w:rsid w:val="003472EA"/>
    <w:rsid w:val="00347822"/>
    <w:rsid w:val="003478F5"/>
    <w:rsid w:val="00347C1B"/>
    <w:rsid w:val="003502DD"/>
    <w:rsid w:val="00350581"/>
    <w:rsid w:val="00350762"/>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03B"/>
    <w:rsid w:val="00355501"/>
    <w:rsid w:val="00355CBB"/>
    <w:rsid w:val="003563E8"/>
    <w:rsid w:val="003565B6"/>
    <w:rsid w:val="003574B2"/>
    <w:rsid w:val="003576FE"/>
    <w:rsid w:val="00357CB4"/>
    <w:rsid w:val="00357D6F"/>
    <w:rsid w:val="00357DE0"/>
    <w:rsid w:val="00357EA3"/>
    <w:rsid w:val="00360130"/>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63A"/>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1A1A"/>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7F"/>
    <w:rsid w:val="003927C8"/>
    <w:rsid w:val="0039295A"/>
    <w:rsid w:val="00392E24"/>
    <w:rsid w:val="0039329D"/>
    <w:rsid w:val="003932AF"/>
    <w:rsid w:val="00393306"/>
    <w:rsid w:val="00393563"/>
    <w:rsid w:val="00393643"/>
    <w:rsid w:val="00393E66"/>
    <w:rsid w:val="00393F12"/>
    <w:rsid w:val="00393FB0"/>
    <w:rsid w:val="00394151"/>
    <w:rsid w:val="003941EE"/>
    <w:rsid w:val="00394216"/>
    <w:rsid w:val="00394C2D"/>
    <w:rsid w:val="00394CC9"/>
    <w:rsid w:val="0039533D"/>
    <w:rsid w:val="003957E3"/>
    <w:rsid w:val="00395922"/>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8CD"/>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5DC"/>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4DB1"/>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5BD"/>
    <w:rsid w:val="003C5669"/>
    <w:rsid w:val="003C5982"/>
    <w:rsid w:val="003C5C1B"/>
    <w:rsid w:val="003C6A0E"/>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144"/>
    <w:rsid w:val="003E1B49"/>
    <w:rsid w:val="003E2DB4"/>
    <w:rsid w:val="003E3586"/>
    <w:rsid w:val="003E36DA"/>
    <w:rsid w:val="003E3A86"/>
    <w:rsid w:val="003E3D07"/>
    <w:rsid w:val="003E440A"/>
    <w:rsid w:val="003E4434"/>
    <w:rsid w:val="003E47C4"/>
    <w:rsid w:val="003E4B83"/>
    <w:rsid w:val="003E4D4C"/>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999"/>
    <w:rsid w:val="003F5ACF"/>
    <w:rsid w:val="003F5ADC"/>
    <w:rsid w:val="003F5CB6"/>
    <w:rsid w:val="003F658F"/>
    <w:rsid w:val="003F7468"/>
    <w:rsid w:val="003F7613"/>
    <w:rsid w:val="003F7668"/>
    <w:rsid w:val="003F7BE7"/>
    <w:rsid w:val="003F7EFA"/>
    <w:rsid w:val="004005C7"/>
    <w:rsid w:val="00400B64"/>
    <w:rsid w:val="00400BE2"/>
    <w:rsid w:val="00400EFE"/>
    <w:rsid w:val="00402015"/>
    <w:rsid w:val="00402187"/>
    <w:rsid w:val="0040328C"/>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9CF"/>
    <w:rsid w:val="00407A40"/>
    <w:rsid w:val="004105DB"/>
    <w:rsid w:val="00410A04"/>
    <w:rsid w:val="00411264"/>
    <w:rsid w:val="00411D0B"/>
    <w:rsid w:val="00412401"/>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77D"/>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00"/>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472"/>
    <w:rsid w:val="00435632"/>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5939"/>
    <w:rsid w:val="00445CFE"/>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63D"/>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E4C"/>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3B2F"/>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0E0"/>
    <w:rsid w:val="004E066C"/>
    <w:rsid w:val="004E0842"/>
    <w:rsid w:val="004E152D"/>
    <w:rsid w:val="004E171A"/>
    <w:rsid w:val="004E1A68"/>
    <w:rsid w:val="004E1B74"/>
    <w:rsid w:val="004E1D25"/>
    <w:rsid w:val="004E1E24"/>
    <w:rsid w:val="004E1F47"/>
    <w:rsid w:val="004E2B0B"/>
    <w:rsid w:val="004E2F7B"/>
    <w:rsid w:val="004E30E5"/>
    <w:rsid w:val="004E30FC"/>
    <w:rsid w:val="004E35B3"/>
    <w:rsid w:val="004E35BE"/>
    <w:rsid w:val="004E373A"/>
    <w:rsid w:val="004E37C7"/>
    <w:rsid w:val="004E3CCB"/>
    <w:rsid w:val="004E43EC"/>
    <w:rsid w:val="004E4771"/>
    <w:rsid w:val="004E49C5"/>
    <w:rsid w:val="004E4CC0"/>
    <w:rsid w:val="004E5482"/>
    <w:rsid w:val="004E5890"/>
    <w:rsid w:val="004E5AFE"/>
    <w:rsid w:val="004E5B3A"/>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4F78EB"/>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72F"/>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40ED"/>
    <w:rsid w:val="005155A2"/>
    <w:rsid w:val="00515AB2"/>
    <w:rsid w:val="0051605E"/>
    <w:rsid w:val="005167E8"/>
    <w:rsid w:val="00517CC6"/>
    <w:rsid w:val="0052138B"/>
    <w:rsid w:val="005216A3"/>
    <w:rsid w:val="00521A11"/>
    <w:rsid w:val="00521CA3"/>
    <w:rsid w:val="00522410"/>
    <w:rsid w:val="00522B70"/>
    <w:rsid w:val="00522C21"/>
    <w:rsid w:val="00522FF9"/>
    <w:rsid w:val="00523601"/>
    <w:rsid w:val="00523667"/>
    <w:rsid w:val="0052367A"/>
    <w:rsid w:val="00523971"/>
    <w:rsid w:val="00524289"/>
    <w:rsid w:val="005244F7"/>
    <w:rsid w:val="005245A3"/>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EDA"/>
    <w:rsid w:val="00544F7A"/>
    <w:rsid w:val="00545025"/>
    <w:rsid w:val="00545421"/>
    <w:rsid w:val="00545760"/>
    <w:rsid w:val="005464B7"/>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777"/>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12E6"/>
    <w:rsid w:val="005824E6"/>
    <w:rsid w:val="0058273F"/>
    <w:rsid w:val="005829E3"/>
    <w:rsid w:val="0058364E"/>
    <w:rsid w:val="0058368D"/>
    <w:rsid w:val="00583984"/>
    <w:rsid w:val="00583F5C"/>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39E"/>
    <w:rsid w:val="005911AA"/>
    <w:rsid w:val="00591260"/>
    <w:rsid w:val="00591707"/>
    <w:rsid w:val="005917F7"/>
    <w:rsid w:val="00591EC0"/>
    <w:rsid w:val="005929F0"/>
    <w:rsid w:val="00592BB0"/>
    <w:rsid w:val="00592D02"/>
    <w:rsid w:val="00593326"/>
    <w:rsid w:val="0059365B"/>
    <w:rsid w:val="005938A7"/>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2F50"/>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4E1B"/>
    <w:rsid w:val="005B57DC"/>
    <w:rsid w:val="005B5DEC"/>
    <w:rsid w:val="005B5F79"/>
    <w:rsid w:val="005B5F8D"/>
    <w:rsid w:val="005B620E"/>
    <w:rsid w:val="005B681A"/>
    <w:rsid w:val="005B6B8D"/>
    <w:rsid w:val="005B6D07"/>
    <w:rsid w:val="005B6E01"/>
    <w:rsid w:val="005B7553"/>
    <w:rsid w:val="005B792A"/>
    <w:rsid w:val="005C0010"/>
    <w:rsid w:val="005C071A"/>
    <w:rsid w:val="005C0D1D"/>
    <w:rsid w:val="005C0F93"/>
    <w:rsid w:val="005C1017"/>
    <w:rsid w:val="005C12DA"/>
    <w:rsid w:val="005C1432"/>
    <w:rsid w:val="005C1C6A"/>
    <w:rsid w:val="005C2BA0"/>
    <w:rsid w:val="005C2BB3"/>
    <w:rsid w:val="005C30D3"/>
    <w:rsid w:val="005C3600"/>
    <w:rsid w:val="005C3816"/>
    <w:rsid w:val="005C3FD8"/>
    <w:rsid w:val="005C3FF1"/>
    <w:rsid w:val="005C414D"/>
    <w:rsid w:val="005C4626"/>
    <w:rsid w:val="005C4E0D"/>
    <w:rsid w:val="005C5109"/>
    <w:rsid w:val="005C5273"/>
    <w:rsid w:val="005C5F4D"/>
    <w:rsid w:val="005C61B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1EB"/>
    <w:rsid w:val="005D53F5"/>
    <w:rsid w:val="005D5C76"/>
    <w:rsid w:val="005D5F7D"/>
    <w:rsid w:val="005D6520"/>
    <w:rsid w:val="005D6B67"/>
    <w:rsid w:val="005D70AB"/>
    <w:rsid w:val="005D789D"/>
    <w:rsid w:val="005D7BEA"/>
    <w:rsid w:val="005D7F3A"/>
    <w:rsid w:val="005E003E"/>
    <w:rsid w:val="005E007B"/>
    <w:rsid w:val="005E05A6"/>
    <w:rsid w:val="005E0F82"/>
    <w:rsid w:val="005E1937"/>
    <w:rsid w:val="005E19B4"/>
    <w:rsid w:val="005E1EE7"/>
    <w:rsid w:val="005E2338"/>
    <w:rsid w:val="005E2858"/>
    <w:rsid w:val="005E2E3C"/>
    <w:rsid w:val="005E3379"/>
    <w:rsid w:val="005E37F5"/>
    <w:rsid w:val="005E3C68"/>
    <w:rsid w:val="005E3D2A"/>
    <w:rsid w:val="005E4207"/>
    <w:rsid w:val="005E4370"/>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D36"/>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4E15"/>
    <w:rsid w:val="00605861"/>
    <w:rsid w:val="006059EE"/>
    <w:rsid w:val="00605D3D"/>
    <w:rsid w:val="00606513"/>
    <w:rsid w:val="006067C8"/>
    <w:rsid w:val="006067E2"/>
    <w:rsid w:val="006075B9"/>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2272"/>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2CB5"/>
    <w:rsid w:val="00633510"/>
    <w:rsid w:val="00633A5D"/>
    <w:rsid w:val="00633CAB"/>
    <w:rsid w:val="006343BE"/>
    <w:rsid w:val="00634D65"/>
    <w:rsid w:val="00635564"/>
    <w:rsid w:val="00635B23"/>
    <w:rsid w:val="00635FF3"/>
    <w:rsid w:val="00636784"/>
    <w:rsid w:val="00636907"/>
    <w:rsid w:val="00637807"/>
    <w:rsid w:val="00637B94"/>
    <w:rsid w:val="00637C32"/>
    <w:rsid w:val="00637D22"/>
    <w:rsid w:val="00637E6F"/>
    <w:rsid w:val="00640037"/>
    <w:rsid w:val="00640B19"/>
    <w:rsid w:val="00641591"/>
    <w:rsid w:val="006415CF"/>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945"/>
    <w:rsid w:val="00646E02"/>
    <w:rsid w:val="00647000"/>
    <w:rsid w:val="006473D1"/>
    <w:rsid w:val="00647EFB"/>
    <w:rsid w:val="00650576"/>
    <w:rsid w:val="00651C53"/>
    <w:rsid w:val="00652124"/>
    <w:rsid w:val="006523AD"/>
    <w:rsid w:val="006523C6"/>
    <w:rsid w:val="0065243F"/>
    <w:rsid w:val="00652BD8"/>
    <w:rsid w:val="00652D75"/>
    <w:rsid w:val="00652FA4"/>
    <w:rsid w:val="00654777"/>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0E"/>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0E70"/>
    <w:rsid w:val="0067121F"/>
    <w:rsid w:val="006713F8"/>
    <w:rsid w:val="00671A00"/>
    <w:rsid w:val="00671D28"/>
    <w:rsid w:val="0067240C"/>
    <w:rsid w:val="00672444"/>
    <w:rsid w:val="006724D8"/>
    <w:rsid w:val="00672A85"/>
    <w:rsid w:val="00672B0C"/>
    <w:rsid w:val="00673193"/>
    <w:rsid w:val="006731A0"/>
    <w:rsid w:val="00673A75"/>
    <w:rsid w:val="006741AF"/>
    <w:rsid w:val="0067422D"/>
    <w:rsid w:val="006744D9"/>
    <w:rsid w:val="00674A3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4564"/>
    <w:rsid w:val="006845D6"/>
    <w:rsid w:val="00685982"/>
    <w:rsid w:val="00685CA1"/>
    <w:rsid w:val="006866EF"/>
    <w:rsid w:val="00686C31"/>
    <w:rsid w:val="00686E5B"/>
    <w:rsid w:val="00687024"/>
    <w:rsid w:val="006870D0"/>
    <w:rsid w:val="00687F84"/>
    <w:rsid w:val="0069019F"/>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5FC"/>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9"/>
    <w:rsid w:val="006A65BE"/>
    <w:rsid w:val="006A6B7C"/>
    <w:rsid w:val="006A744F"/>
    <w:rsid w:val="006A7EBF"/>
    <w:rsid w:val="006B0041"/>
    <w:rsid w:val="006B03AA"/>
    <w:rsid w:val="006B083A"/>
    <w:rsid w:val="006B0935"/>
    <w:rsid w:val="006B143B"/>
    <w:rsid w:val="006B1610"/>
    <w:rsid w:val="006B19B2"/>
    <w:rsid w:val="006B1B95"/>
    <w:rsid w:val="006B1C59"/>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2D7D"/>
    <w:rsid w:val="006D312D"/>
    <w:rsid w:val="006D3560"/>
    <w:rsid w:val="006D39E1"/>
    <w:rsid w:val="006D3D0F"/>
    <w:rsid w:val="006D3DA7"/>
    <w:rsid w:val="006D4032"/>
    <w:rsid w:val="006D41A0"/>
    <w:rsid w:val="006D4560"/>
    <w:rsid w:val="006D4A70"/>
    <w:rsid w:val="006D4C50"/>
    <w:rsid w:val="006D4E84"/>
    <w:rsid w:val="006D573B"/>
    <w:rsid w:val="006D5C96"/>
    <w:rsid w:val="006D634E"/>
    <w:rsid w:val="006D69C2"/>
    <w:rsid w:val="006D6DBF"/>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1F4"/>
    <w:rsid w:val="006E639B"/>
    <w:rsid w:val="006E640F"/>
    <w:rsid w:val="006E6496"/>
    <w:rsid w:val="006E672C"/>
    <w:rsid w:val="006E6A39"/>
    <w:rsid w:val="006E6A7E"/>
    <w:rsid w:val="006E737F"/>
    <w:rsid w:val="006E7619"/>
    <w:rsid w:val="006E778F"/>
    <w:rsid w:val="006E7859"/>
    <w:rsid w:val="006F0ACE"/>
    <w:rsid w:val="006F0BDF"/>
    <w:rsid w:val="006F0E84"/>
    <w:rsid w:val="006F1554"/>
    <w:rsid w:val="006F1573"/>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6087"/>
    <w:rsid w:val="006F6334"/>
    <w:rsid w:val="006F6552"/>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29FD"/>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0DA8"/>
    <w:rsid w:val="00731081"/>
    <w:rsid w:val="00731165"/>
    <w:rsid w:val="0073224E"/>
    <w:rsid w:val="00732A40"/>
    <w:rsid w:val="0073334B"/>
    <w:rsid w:val="0073384C"/>
    <w:rsid w:val="0073399A"/>
    <w:rsid w:val="007339AC"/>
    <w:rsid w:val="0073413D"/>
    <w:rsid w:val="0073419D"/>
    <w:rsid w:val="00734889"/>
    <w:rsid w:val="00735177"/>
    <w:rsid w:val="007357D1"/>
    <w:rsid w:val="00735950"/>
    <w:rsid w:val="00735B9A"/>
    <w:rsid w:val="00735D98"/>
    <w:rsid w:val="00735FE7"/>
    <w:rsid w:val="007364EE"/>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1037"/>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109"/>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3A3"/>
    <w:rsid w:val="007618EC"/>
    <w:rsid w:val="00761904"/>
    <w:rsid w:val="007620EB"/>
    <w:rsid w:val="00762204"/>
    <w:rsid w:val="0076227C"/>
    <w:rsid w:val="00762588"/>
    <w:rsid w:val="007625AE"/>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71C3"/>
    <w:rsid w:val="0077753C"/>
    <w:rsid w:val="00777E61"/>
    <w:rsid w:val="00780527"/>
    <w:rsid w:val="00780A6B"/>
    <w:rsid w:val="00781190"/>
    <w:rsid w:val="00781915"/>
    <w:rsid w:val="007822EB"/>
    <w:rsid w:val="00782C19"/>
    <w:rsid w:val="007838B4"/>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3C6D"/>
    <w:rsid w:val="007942B9"/>
    <w:rsid w:val="0079485D"/>
    <w:rsid w:val="007951C7"/>
    <w:rsid w:val="00795439"/>
    <w:rsid w:val="0079544C"/>
    <w:rsid w:val="007954D6"/>
    <w:rsid w:val="00795628"/>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4E"/>
    <w:rsid w:val="007A4BCB"/>
    <w:rsid w:val="007A4CCD"/>
    <w:rsid w:val="007A54B0"/>
    <w:rsid w:val="007A5716"/>
    <w:rsid w:val="007A5805"/>
    <w:rsid w:val="007A58D5"/>
    <w:rsid w:val="007A59E9"/>
    <w:rsid w:val="007A5B0B"/>
    <w:rsid w:val="007A5BBC"/>
    <w:rsid w:val="007A5D6D"/>
    <w:rsid w:val="007A6346"/>
    <w:rsid w:val="007A6809"/>
    <w:rsid w:val="007A6CC8"/>
    <w:rsid w:val="007A6FDE"/>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ED5"/>
    <w:rsid w:val="007B3F32"/>
    <w:rsid w:val="007B4D7A"/>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0447"/>
    <w:rsid w:val="007D1171"/>
    <w:rsid w:val="007D12CD"/>
    <w:rsid w:val="007D1331"/>
    <w:rsid w:val="007D1937"/>
    <w:rsid w:val="007D2289"/>
    <w:rsid w:val="007D2899"/>
    <w:rsid w:val="007D29C8"/>
    <w:rsid w:val="007D3594"/>
    <w:rsid w:val="007D3F41"/>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E7A9C"/>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0889"/>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1CD"/>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2A3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177"/>
    <w:rsid w:val="0083247C"/>
    <w:rsid w:val="008332DA"/>
    <w:rsid w:val="00833474"/>
    <w:rsid w:val="008334B0"/>
    <w:rsid w:val="00834639"/>
    <w:rsid w:val="008349A3"/>
    <w:rsid w:val="008349F9"/>
    <w:rsid w:val="00835AD1"/>
    <w:rsid w:val="00835BEE"/>
    <w:rsid w:val="00835EFC"/>
    <w:rsid w:val="00835FD5"/>
    <w:rsid w:val="008363D5"/>
    <w:rsid w:val="00836C03"/>
    <w:rsid w:val="00836EFA"/>
    <w:rsid w:val="00837A53"/>
    <w:rsid w:val="00837AA5"/>
    <w:rsid w:val="00837EA5"/>
    <w:rsid w:val="0084009E"/>
    <w:rsid w:val="0084078A"/>
    <w:rsid w:val="00840826"/>
    <w:rsid w:val="00841E07"/>
    <w:rsid w:val="00842BF9"/>
    <w:rsid w:val="00843044"/>
    <w:rsid w:val="008435FA"/>
    <w:rsid w:val="008436F0"/>
    <w:rsid w:val="0084379E"/>
    <w:rsid w:val="00843AD9"/>
    <w:rsid w:val="00843BF9"/>
    <w:rsid w:val="00844161"/>
    <w:rsid w:val="008445B9"/>
    <w:rsid w:val="008446E9"/>
    <w:rsid w:val="00845377"/>
    <w:rsid w:val="008455F4"/>
    <w:rsid w:val="00846178"/>
    <w:rsid w:val="00846244"/>
    <w:rsid w:val="0084627F"/>
    <w:rsid w:val="00846452"/>
    <w:rsid w:val="008469DC"/>
    <w:rsid w:val="00846A26"/>
    <w:rsid w:val="00846AEC"/>
    <w:rsid w:val="00846BA5"/>
    <w:rsid w:val="00846BC1"/>
    <w:rsid w:val="008473DE"/>
    <w:rsid w:val="0084744F"/>
    <w:rsid w:val="0084790B"/>
    <w:rsid w:val="00847A3A"/>
    <w:rsid w:val="00847B61"/>
    <w:rsid w:val="00847D73"/>
    <w:rsid w:val="008505D7"/>
    <w:rsid w:val="00850DD6"/>
    <w:rsid w:val="00850F06"/>
    <w:rsid w:val="00850FC2"/>
    <w:rsid w:val="008510B7"/>
    <w:rsid w:val="0085161D"/>
    <w:rsid w:val="00852D76"/>
    <w:rsid w:val="00853B27"/>
    <w:rsid w:val="008544D7"/>
    <w:rsid w:val="00854568"/>
    <w:rsid w:val="008545BE"/>
    <w:rsid w:val="008548B3"/>
    <w:rsid w:val="00854AE1"/>
    <w:rsid w:val="00854C42"/>
    <w:rsid w:val="00854FE9"/>
    <w:rsid w:val="00855EE7"/>
    <w:rsid w:val="008562A0"/>
    <w:rsid w:val="00856323"/>
    <w:rsid w:val="008563E4"/>
    <w:rsid w:val="0085660A"/>
    <w:rsid w:val="00856EF0"/>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983"/>
    <w:rsid w:val="00865C7F"/>
    <w:rsid w:val="00865E6F"/>
    <w:rsid w:val="00866005"/>
    <w:rsid w:val="00866097"/>
    <w:rsid w:val="0086702E"/>
    <w:rsid w:val="008670F7"/>
    <w:rsid w:val="0086772C"/>
    <w:rsid w:val="008679BE"/>
    <w:rsid w:val="008700FA"/>
    <w:rsid w:val="00870211"/>
    <w:rsid w:val="00870951"/>
    <w:rsid w:val="0087147A"/>
    <w:rsid w:val="0087179F"/>
    <w:rsid w:val="00871847"/>
    <w:rsid w:val="00871CDD"/>
    <w:rsid w:val="00871CE9"/>
    <w:rsid w:val="00871E2E"/>
    <w:rsid w:val="008723CC"/>
    <w:rsid w:val="00872495"/>
    <w:rsid w:val="008724AC"/>
    <w:rsid w:val="008727F0"/>
    <w:rsid w:val="00872994"/>
    <w:rsid w:val="00872D68"/>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8795B"/>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0FAB"/>
    <w:rsid w:val="008B149C"/>
    <w:rsid w:val="008B1ED0"/>
    <w:rsid w:val="008B272E"/>
    <w:rsid w:val="008B2893"/>
    <w:rsid w:val="008B3089"/>
    <w:rsid w:val="008B3245"/>
    <w:rsid w:val="008B33ED"/>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A3"/>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022"/>
    <w:rsid w:val="008E5568"/>
    <w:rsid w:val="008E599A"/>
    <w:rsid w:val="008E5C71"/>
    <w:rsid w:val="008E5D70"/>
    <w:rsid w:val="008E63C9"/>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A20"/>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4C4"/>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8AA"/>
    <w:rsid w:val="00910B4B"/>
    <w:rsid w:val="00911040"/>
    <w:rsid w:val="00911EB5"/>
    <w:rsid w:val="00911EBD"/>
    <w:rsid w:val="00912095"/>
    <w:rsid w:val="00912569"/>
    <w:rsid w:val="00912BBC"/>
    <w:rsid w:val="0091320F"/>
    <w:rsid w:val="00913374"/>
    <w:rsid w:val="009134D9"/>
    <w:rsid w:val="00913556"/>
    <w:rsid w:val="009136DA"/>
    <w:rsid w:val="0091373F"/>
    <w:rsid w:val="00913E35"/>
    <w:rsid w:val="00913FF8"/>
    <w:rsid w:val="0091417E"/>
    <w:rsid w:val="0091428C"/>
    <w:rsid w:val="00914799"/>
    <w:rsid w:val="009148EE"/>
    <w:rsid w:val="00914AD2"/>
    <w:rsid w:val="00914D56"/>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392"/>
    <w:rsid w:val="00954717"/>
    <w:rsid w:val="00954E27"/>
    <w:rsid w:val="00954F65"/>
    <w:rsid w:val="00955635"/>
    <w:rsid w:val="00956141"/>
    <w:rsid w:val="0095660E"/>
    <w:rsid w:val="00956A61"/>
    <w:rsid w:val="00956B18"/>
    <w:rsid w:val="00957374"/>
    <w:rsid w:val="009576CD"/>
    <w:rsid w:val="00957EA6"/>
    <w:rsid w:val="009602FF"/>
    <w:rsid w:val="00960A93"/>
    <w:rsid w:val="00960BC2"/>
    <w:rsid w:val="009616C5"/>
    <w:rsid w:val="0096199C"/>
    <w:rsid w:val="00961B71"/>
    <w:rsid w:val="00961E50"/>
    <w:rsid w:val="00962062"/>
    <w:rsid w:val="00962A43"/>
    <w:rsid w:val="00962B16"/>
    <w:rsid w:val="0096354F"/>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19"/>
    <w:rsid w:val="00982D90"/>
    <w:rsid w:val="00982E14"/>
    <w:rsid w:val="009832D7"/>
    <w:rsid w:val="009833C7"/>
    <w:rsid w:val="00983671"/>
    <w:rsid w:val="00983914"/>
    <w:rsid w:val="00983EAA"/>
    <w:rsid w:val="0098442B"/>
    <w:rsid w:val="00984DD7"/>
    <w:rsid w:val="00984E9B"/>
    <w:rsid w:val="00984F62"/>
    <w:rsid w:val="00984FAB"/>
    <w:rsid w:val="009852CA"/>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6DA1"/>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869"/>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DA"/>
    <w:rsid w:val="009D70E9"/>
    <w:rsid w:val="009D71DC"/>
    <w:rsid w:val="009D7624"/>
    <w:rsid w:val="009D7654"/>
    <w:rsid w:val="009D7B16"/>
    <w:rsid w:val="009E035A"/>
    <w:rsid w:val="009E0792"/>
    <w:rsid w:val="009E09BD"/>
    <w:rsid w:val="009E0C0F"/>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09"/>
    <w:rsid w:val="009E467F"/>
    <w:rsid w:val="009E4B13"/>
    <w:rsid w:val="009E4D4F"/>
    <w:rsid w:val="009E5273"/>
    <w:rsid w:val="009E53C5"/>
    <w:rsid w:val="009E5544"/>
    <w:rsid w:val="009E55A0"/>
    <w:rsid w:val="009E5B02"/>
    <w:rsid w:val="009E5D05"/>
    <w:rsid w:val="009E5FE9"/>
    <w:rsid w:val="009E6923"/>
    <w:rsid w:val="009E6FC4"/>
    <w:rsid w:val="009E7222"/>
    <w:rsid w:val="009E7F35"/>
    <w:rsid w:val="009F0F71"/>
    <w:rsid w:val="009F1248"/>
    <w:rsid w:val="009F13AA"/>
    <w:rsid w:val="009F1685"/>
    <w:rsid w:val="009F1E72"/>
    <w:rsid w:val="009F230A"/>
    <w:rsid w:val="009F307F"/>
    <w:rsid w:val="009F31BE"/>
    <w:rsid w:val="009F324F"/>
    <w:rsid w:val="009F3796"/>
    <w:rsid w:val="009F39DC"/>
    <w:rsid w:val="009F40FF"/>
    <w:rsid w:val="009F4335"/>
    <w:rsid w:val="009F455F"/>
    <w:rsid w:val="009F4DF0"/>
    <w:rsid w:val="009F573A"/>
    <w:rsid w:val="009F5BE9"/>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2CF0"/>
    <w:rsid w:val="00A12FDA"/>
    <w:rsid w:val="00A132F5"/>
    <w:rsid w:val="00A13644"/>
    <w:rsid w:val="00A13972"/>
    <w:rsid w:val="00A13E30"/>
    <w:rsid w:val="00A14675"/>
    <w:rsid w:val="00A14A4C"/>
    <w:rsid w:val="00A14DD4"/>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45E"/>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8EA"/>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7BA"/>
    <w:rsid w:val="00A33A35"/>
    <w:rsid w:val="00A33CA9"/>
    <w:rsid w:val="00A3419B"/>
    <w:rsid w:val="00A34535"/>
    <w:rsid w:val="00A35285"/>
    <w:rsid w:val="00A35D94"/>
    <w:rsid w:val="00A36601"/>
    <w:rsid w:val="00A36D2C"/>
    <w:rsid w:val="00A36E08"/>
    <w:rsid w:val="00A36FC4"/>
    <w:rsid w:val="00A37142"/>
    <w:rsid w:val="00A3716C"/>
    <w:rsid w:val="00A37A81"/>
    <w:rsid w:val="00A37D6E"/>
    <w:rsid w:val="00A4025E"/>
    <w:rsid w:val="00A402A1"/>
    <w:rsid w:val="00A407DD"/>
    <w:rsid w:val="00A412A7"/>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B12"/>
    <w:rsid w:val="00A4518D"/>
    <w:rsid w:val="00A45EBD"/>
    <w:rsid w:val="00A464F8"/>
    <w:rsid w:val="00A473CC"/>
    <w:rsid w:val="00A4745D"/>
    <w:rsid w:val="00A478D7"/>
    <w:rsid w:val="00A47B1D"/>
    <w:rsid w:val="00A47F10"/>
    <w:rsid w:val="00A47F7F"/>
    <w:rsid w:val="00A50607"/>
    <w:rsid w:val="00A50898"/>
    <w:rsid w:val="00A51666"/>
    <w:rsid w:val="00A51BFF"/>
    <w:rsid w:val="00A51D95"/>
    <w:rsid w:val="00A520E1"/>
    <w:rsid w:val="00A52408"/>
    <w:rsid w:val="00A52A68"/>
    <w:rsid w:val="00A52DD9"/>
    <w:rsid w:val="00A53818"/>
    <w:rsid w:val="00A5416F"/>
    <w:rsid w:val="00A54576"/>
    <w:rsid w:val="00A545ED"/>
    <w:rsid w:val="00A54AE5"/>
    <w:rsid w:val="00A55175"/>
    <w:rsid w:val="00A5575C"/>
    <w:rsid w:val="00A557F3"/>
    <w:rsid w:val="00A55A01"/>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20"/>
    <w:rsid w:val="00A74B57"/>
    <w:rsid w:val="00A75231"/>
    <w:rsid w:val="00A75453"/>
    <w:rsid w:val="00A7549D"/>
    <w:rsid w:val="00A75778"/>
    <w:rsid w:val="00A75B0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2E67"/>
    <w:rsid w:val="00AB316E"/>
    <w:rsid w:val="00AB3428"/>
    <w:rsid w:val="00AB35B7"/>
    <w:rsid w:val="00AB36D3"/>
    <w:rsid w:val="00AB36DA"/>
    <w:rsid w:val="00AB37E2"/>
    <w:rsid w:val="00AB3A16"/>
    <w:rsid w:val="00AB4143"/>
    <w:rsid w:val="00AB45E7"/>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5CB"/>
    <w:rsid w:val="00AC7CFD"/>
    <w:rsid w:val="00AC7E44"/>
    <w:rsid w:val="00AD0174"/>
    <w:rsid w:val="00AD024C"/>
    <w:rsid w:val="00AD032F"/>
    <w:rsid w:val="00AD1439"/>
    <w:rsid w:val="00AD1582"/>
    <w:rsid w:val="00AD1847"/>
    <w:rsid w:val="00AD1C57"/>
    <w:rsid w:val="00AD2599"/>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D7FCE"/>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38D9"/>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2D77"/>
    <w:rsid w:val="00B030DD"/>
    <w:rsid w:val="00B032F3"/>
    <w:rsid w:val="00B0434C"/>
    <w:rsid w:val="00B044CD"/>
    <w:rsid w:val="00B04AF3"/>
    <w:rsid w:val="00B04B0A"/>
    <w:rsid w:val="00B05290"/>
    <w:rsid w:val="00B0531F"/>
    <w:rsid w:val="00B05D56"/>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17E4C"/>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6AD"/>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0B58"/>
    <w:rsid w:val="00B413BD"/>
    <w:rsid w:val="00B413C3"/>
    <w:rsid w:val="00B41A76"/>
    <w:rsid w:val="00B42367"/>
    <w:rsid w:val="00B4246D"/>
    <w:rsid w:val="00B424C0"/>
    <w:rsid w:val="00B432A5"/>
    <w:rsid w:val="00B433E2"/>
    <w:rsid w:val="00B43473"/>
    <w:rsid w:val="00B44284"/>
    <w:rsid w:val="00B44B19"/>
    <w:rsid w:val="00B4576C"/>
    <w:rsid w:val="00B45EFB"/>
    <w:rsid w:val="00B46047"/>
    <w:rsid w:val="00B460CA"/>
    <w:rsid w:val="00B462A9"/>
    <w:rsid w:val="00B46B82"/>
    <w:rsid w:val="00B50702"/>
    <w:rsid w:val="00B51808"/>
    <w:rsid w:val="00B51910"/>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1944"/>
    <w:rsid w:val="00B61C7E"/>
    <w:rsid w:val="00B6370B"/>
    <w:rsid w:val="00B63934"/>
    <w:rsid w:val="00B643A3"/>
    <w:rsid w:val="00B646FA"/>
    <w:rsid w:val="00B64BAA"/>
    <w:rsid w:val="00B64C54"/>
    <w:rsid w:val="00B64F9D"/>
    <w:rsid w:val="00B65042"/>
    <w:rsid w:val="00B65173"/>
    <w:rsid w:val="00B656DE"/>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DA1"/>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5415"/>
    <w:rsid w:val="00B9579A"/>
    <w:rsid w:val="00B95BAD"/>
    <w:rsid w:val="00B95C08"/>
    <w:rsid w:val="00B95EDF"/>
    <w:rsid w:val="00B96838"/>
    <w:rsid w:val="00B96EA9"/>
    <w:rsid w:val="00B9713E"/>
    <w:rsid w:val="00B97DEF"/>
    <w:rsid w:val="00BA0AE4"/>
    <w:rsid w:val="00BA0EA1"/>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4EB2"/>
    <w:rsid w:val="00BA50F5"/>
    <w:rsid w:val="00BA5512"/>
    <w:rsid w:val="00BA580D"/>
    <w:rsid w:val="00BA61EE"/>
    <w:rsid w:val="00BA6295"/>
    <w:rsid w:val="00BA687D"/>
    <w:rsid w:val="00BA6EF3"/>
    <w:rsid w:val="00BA703F"/>
    <w:rsid w:val="00BA71F0"/>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839"/>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3E61"/>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204"/>
    <w:rsid w:val="00BD1394"/>
    <w:rsid w:val="00BD14E3"/>
    <w:rsid w:val="00BD2059"/>
    <w:rsid w:val="00BD2697"/>
    <w:rsid w:val="00BD3772"/>
    <w:rsid w:val="00BD406B"/>
    <w:rsid w:val="00BD4E81"/>
    <w:rsid w:val="00BD4E9D"/>
    <w:rsid w:val="00BD5377"/>
    <w:rsid w:val="00BD54ED"/>
    <w:rsid w:val="00BD5737"/>
    <w:rsid w:val="00BD5AB0"/>
    <w:rsid w:val="00BD5AF5"/>
    <w:rsid w:val="00BD5C2D"/>
    <w:rsid w:val="00BD5D7B"/>
    <w:rsid w:val="00BD6620"/>
    <w:rsid w:val="00BD6AC2"/>
    <w:rsid w:val="00BD6BB0"/>
    <w:rsid w:val="00BD6C63"/>
    <w:rsid w:val="00BD6CBF"/>
    <w:rsid w:val="00BD71A4"/>
    <w:rsid w:val="00BD72D1"/>
    <w:rsid w:val="00BD7352"/>
    <w:rsid w:val="00BD7AEA"/>
    <w:rsid w:val="00BE10B7"/>
    <w:rsid w:val="00BE140F"/>
    <w:rsid w:val="00BE1519"/>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625"/>
    <w:rsid w:val="00C12D28"/>
    <w:rsid w:val="00C134B0"/>
    <w:rsid w:val="00C13E48"/>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5B6"/>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DB"/>
    <w:rsid w:val="00C24EBE"/>
    <w:rsid w:val="00C24F3B"/>
    <w:rsid w:val="00C24F3F"/>
    <w:rsid w:val="00C25343"/>
    <w:rsid w:val="00C25890"/>
    <w:rsid w:val="00C259E8"/>
    <w:rsid w:val="00C25F63"/>
    <w:rsid w:val="00C26031"/>
    <w:rsid w:val="00C26169"/>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EC3"/>
    <w:rsid w:val="00C332D0"/>
    <w:rsid w:val="00C33326"/>
    <w:rsid w:val="00C33387"/>
    <w:rsid w:val="00C33AC1"/>
    <w:rsid w:val="00C33CD6"/>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12"/>
    <w:rsid w:val="00C83527"/>
    <w:rsid w:val="00C84973"/>
    <w:rsid w:val="00C84A7F"/>
    <w:rsid w:val="00C856E3"/>
    <w:rsid w:val="00C85EA2"/>
    <w:rsid w:val="00C86621"/>
    <w:rsid w:val="00C86882"/>
    <w:rsid w:val="00C87231"/>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1E"/>
    <w:rsid w:val="00C9296A"/>
    <w:rsid w:val="00C92CC2"/>
    <w:rsid w:val="00C92FAB"/>
    <w:rsid w:val="00C940AB"/>
    <w:rsid w:val="00C9421C"/>
    <w:rsid w:val="00C94309"/>
    <w:rsid w:val="00C94449"/>
    <w:rsid w:val="00C94D13"/>
    <w:rsid w:val="00C950CD"/>
    <w:rsid w:val="00C9521C"/>
    <w:rsid w:val="00C95B2E"/>
    <w:rsid w:val="00C95EB5"/>
    <w:rsid w:val="00C95F49"/>
    <w:rsid w:val="00C96481"/>
    <w:rsid w:val="00C966DA"/>
    <w:rsid w:val="00C9695B"/>
    <w:rsid w:val="00CA0090"/>
    <w:rsid w:val="00CA01A4"/>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231"/>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5D1"/>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C96"/>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186"/>
    <w:rsid w:val="00CE3736"/>
    <w:rsid w:val="00CE3964"/>
    <w:rsid w:val="00CE405A"/>
    <w:rsid w:val="00CE413D"/>
    <w:rsid w:val="00CE4770"/>
    <w:rsid w:val="00CE51DA"/>
    <w:rsid w:val="00CE5463"/>
    <w:rsid w:val="00CE5488"/>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28"/>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6D4"/>
    <w:rsid w:val="00D07FB0"/>
    <w:rsid w:val="00D100AB"/>
    <w:rsid w:val="00D10644"/>
    <w:rsid w:val="00D10B08"/>
    <w:rsid w:val="00D10B67"/>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AC"/>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4E4"/>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685"/>
    <w:rsid w:val="00D34941"/>
    <w:rsid w:val="00D34B7F"/>
    <w:rsid w:val="00D35311"/>
    <w:rsid w:val="00D35EC0"/>
    <w:rsid w:val="00D363E3"/>
    <w:rsid w:val="00D3682E"/>
    <w:rsid w:val="00D37310"/>
    <w:rsid w:val="00D37411"/>
    <w:rsid w:val="00D3777D"/>
    <w:rsid w:val="00D377AD"/>
    <w:rsid w:val="00D37E33"/>
    <w:rsid w:val="00D40275"/>
    <w:rsid w:val="00D40557"/>
    <w:rsid w:val="00D41923"/>
    <w:rsid w:val="00D42322"/>
    <w:rsid w:val="00D42758"/>
    <w:rsid w:val="00D42BFA"/>
    <w:rsid w:val="00D42D39"/>
    <w:rsid w:val="00D4334F"/>
    <w:rsid w:val="00D435E2"/>
    <w:rsid w:val="00D4364F"/>
    <w:rsid w:val="00D43C25"/>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6D5B"/>
    <w:rsid w:val="00D47564"/>
    <w:rsid w:val="00D47EE6"/>
    <w:rsid w:val="00D5004E"/>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AD1"/>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166"/>
    <w:rsid w:val="00D70460"/>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0FD2"/>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52A"/>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01B"/>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5D0"/>
    <w:rsid w:val="00DC3636"/>
    <w:rsid w:val="00DC3B23"/>
    <w:rsid w:val="00DC424B"/>
    <w:rsid w:val="00DC4D9D"/>
    <w:rsid w:val="00DC5645"/>
    <w:rsid w:val="00DC5754"/>
    <w:rsid w:val="00DC5B73"/>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C8C"/>
    <w:rsid w:val="00DD2EFF"/>
    <w:rsid w:val="00DD3460"/>
    <w:rsid w:val="00DD3747"/>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99B"/>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95"/>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6C20"/>
    <w:rsid w:val="00DF73DD"/>
    <w:rsid w:val="00DF7C4C"/>
    <w:rsid w:val="00DF7EB3"/>
    <w:rsid w:val="00E00B1E"/>
    <w:rsid w:val="00E0113A"/>
    <w:rsid w:val="00E012F6"/>
    <w:rsid w:val="00E01A91"/>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15D"/>
    <w:rsid w:val="00E14869"/>
    <w:rsid w:val="00E148B6"/>
    <w:rsid w:val="00E14ACF"/>
    <w:rsid w:val="00E14C18"/>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6FB"/>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038"/>
    <w:rsid w:val="00E35A26"/>
    <w:rsid w:val="00E35A62"/>
    <w:rsid w:val="00E35A7D"/>
    <w:rsid w:val="00E35F93"/>
    <w:rsid w:val="00E362B6"/>
    <w:rsid w:val="00E36B2F"/>
    <w:rsid w:val="00E36EBB"/>
    <w:rsid w:val="00E37048"/>
    <w:rsid w:val="00E377D8"/>
    <w:rsid w:val="00E40075"/>
    <w:rsid w:val="00E40310"/>
    <w:rsid w:val="00E40898"/>
    <w:rsid w:val="00E408DB"/>
    <w:rsid w:val="00E4111C"/>
    <w:rsid w:val="00E4139F"/>
    <w:rsid w:val="00E423DD"/>
    <w:rsid w:val="00E42585"/>
    <w:rsid w:val="00E42ABB"/>
    <w:rsid w:val="00E4312B"/>
    <w:rsid w:val="00E432E7"/>
    <w:rsid w:val="00E43396"/>
    <w:rsid w:val="00E43692"/>
    <w:rsid w:val="00E437D2"/>
    <w:rsid w:val="00E4383F"/>
    <w:rsid w:val="00E43C24"/>
    <w:rsid w:val="00E44035"/>
    <w:rsid w:val="00E44342"/>
    <w:rsid w:val="00E443E9"/>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6B9"/>
    <w:rsid w:val="00E53C5E"/>
    <w:rsid w:val="00E54094"/>
    <w:rsid w:val="00E544EA"/>
    <w:rsid w:val="00E54777"/>
    <w:rsid w:val="00E54DA0"/>
    <w:rsid w:val="00E564BA"/>
    <w:rsid w:val="00E56953"/>
    <w:rsid w:val="00E56DFA"/>
    <w:rsid w:val="00E5755E"/>
    <w:rsid w:val="00E579DA"/>
    <w:rsid w:val="00E57AEB"/>
    <w:rsid w:val="00E602B8"/>
    <w:rsid w:val="00E605E5"/>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68D"/>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04B"/>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6C"/>
    <w:rsid w:val="00E77476"/>
    <w:rsid w:val="00E774AC"/>
    <w:rsid w:val="00E8023E"/>
    <w:rsid w:val="00E80295"/>
    <w:rsid w:val="00E81319"/>
    <w:rsid w:val="00E81CCA"/>
    <w:rsid w:val="00E81FFC"/>
    <w:rsid w:val="00E821D1"/>
    <w:rsid w:val="00E8228D"/>
    <w:rsid w:val="00E82948"/>
    <w:rsid w:val="00E82C80"/>
    <w:rsid w:val="00E8344A"/>
    <w:rsid w:val="00E837F8"/>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B67"/>
    <w:rsid w:val="00E93E64"/>
    <w:rsid w:val="00E94145"/>
    <w:rsid w:val="00E94218"/>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AE4"/>
    <w:rsid w:val="00E97E42"/>
    <w:rsid w:val="00EA0001"/>
    <w:rsid w:val="00EA0140"/>
    <w:rsid w:val="00EA06F1"/>
    <w:rsid w:val="00EA0AEB"/>
    <w:rsid w:val="00EA0C35"/>
    <w:rsid w:val="00EA1338"/>
    <w:rsid w:val="00EA1723"/>
    <w:rsid w:val="00EA177A"/>
    <w:rsid w:val="00EA1781"/>
    <w:rsid w:val="00EA1EA3"/>
    <w:rsid w:val="00EA1FDD"/>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C57"/>
    <w:rsid w:val="00EC2D43"/>
    <w:rsid w:val="00EC30E4"/>
    <w:rsid w:val="00EC3921"/>
    <w:rsid w:val="00EC3DDC"/>
    <w:rsid w:val="00EC4440"/>
    <w:rsid w:val="00EC4624"/>
    <w:rsid w:val="00EC47E3"/>
    <w:rsid w:val="00EC48C7"/>
    <w:rsid w:val="00EC4B14"/>
    <w:rsid w:val="00EC5024"/>
    <w:rsid w:val="00EC5BCB"/>
    <w:rsid w:val="00EC605C"/>
    <w:rsid w:val="00EC66F8"/>
    <w:rsid w:val="00EC7302"/>
    <w:rsid w:val="00EC7864"/>
    <w:rsid w:val="00EC7BFF"/>
    <w:rsid w:val="00EC7C44"/>
    <w:rsid w:val="00ED02DD"/>
    <w:rsid w:val="00ED0923"/>
    <w:rsid w:val="00ED0BED"/>
    <w:rsid w:val="00ED11E8"/>
    <w:rsid w:val="00ED148B"/>
    <w:rsid w:val="00ED18EB"/>
    <w:rsid w:val="00ED1AE0"/>
    <w:rsid w:val="00ED1D24"/>
    <w:rsid w:val="00ED2295"/>
    <w:rsid w:val="00ED24E4"/>
    <w:rsid w:val="00ED28B6"/>
    <w:rsid w:val="00ED33BD"/>
    <w:rsid w:val="00ED38F7"/>
    <w:rsid w:val="00ED3B77"/>
    <w:rsid w:val="00ED43BA"/>
    <w:rsid w:val="00ED514A"/>
    <w:rsid w:val="00ED52CC"/>
    <w:rsid w:val="00ED5874"/>
    <w:rsid w:val="00ED5C02"/>
    <w:rsid w:val="00ED722A"/>
    <w:rsid w:val="00ED74B3"/>
    <w:rsid w:val="00EE023F"/>
    <w:rsid w:val="00EE09D5"/>
    <w:rsid w:val="00EE0B06"/>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6F6B"/>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689"/>
    <w:rsid w:val="00EF5869"/>
    <w:rsid w:val="00EF5C06"/>
    <w:rsid w:val="00EF5F75"/>
    <w:rsid w:val="00EF6878"/>
    <w:rsid w:val="00EF6953"/>
    <w:rsid w:val="00EF74F9"/>
    <w:rsid w:val="00EF776B"/>
    <w:rsid w:val="00EF78C9"/>
    <w:rsid w:val="00EF7C60"/>
    <w:rsid w:val="00EF7D6D"/>
    <w:rsid w:val="00EF7DFF"/>
    <w:rsid w:val="00F005F8"/>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9C2"/>
    <w:rsid w:val="00F07CA4"/>
    <w:rsid w:val="00F101D0"/>
    <w:rsid w:val="00F10AE8"/>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49B"/>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92E"/>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722"/>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55B"/>
    <w:rsid w:val="00F41697"/>
    <w:rsid w:val="00F41DB6"/>
    <w:rsid w:val="00F42672"/>
    <w:rsid w:val="00F42BC0"/>
    <w:rsid w:val="00F42CDC"/>
    <w:rsid w:val="00F42DE9"/>
    <w:rsid w:val="00F4312A"/>
    <w:rsid w:val="00F43429"/>
    <w:rsid w:val="00F43A88"/>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0F8A"/>
    <w:rsid w:val="00F51C26"/>
    <w:rsid w:val="00F5244A"/>
    <w:rsid w:val="00F52E95"/>
    <w:rsid w:val="00F535A2"/>
    <w:rsid w:val="00F536B0"/>
    <w:rsid w:val="00F537EB"/>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C34"/>
    <w:rsid w:val="00F64146"/>
    <w:rsid w:val="00F64A50"/>
    <w:rsid w:val="00F657F9"/>
    <w:rsid w:val="00F65C11"/>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290"/>
    <w:rsid w:val="00F72746"/>
    <w:rsid w:val="00F72CD2"/>
    <w:rsid w:val="00F73421"/>
    <w:rsid w:val="00F734A5"/>
    <w:rsid w:val="00F738E0"/>
    <w:rsid w:val="00F73904"/>
    <w:rsid w:val="00F739C8"/>
    <w:rsid w:val="00F74159"/>
    <w:rsid w:val="00F74413"/>
    <w:rsid w:val="00F75089"/>
    <w:rsid w:val="00F75134"/>
    <w:rsid w:val="00F7525C"/>
    <w:rsid w:val="00F75395"/>
    <w:rsid w:val="00F753F5"/>
    <w:rsid w:val="00F75FF6"/>
    <w:rsid w:val="00F76141"/>
    <w:rsid w:val="00F762D7"/>
    <w:rsid w:val="00F7689F"/>
    <w:rsid w:val="00F76AB2"/>
    <w:rsid w:val="00F76AF2"/>
    <w:rsid w:val="00F774AC"/>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87ABC"/>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AFA"/>
    <w:rsid w:val="00FA722A"/>
    <w:rsid w:val="00FA7DA2"/>
    <w:rsid w:val="00FB02B7"/>
    <w:rsid w:val="00FB066F"/>
    <w:rsid w:val="00FB0763"/>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B65"/>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3D85"/>
    <w:rsid w:val="00FF4BEE"/>
    <w:rsid w:val="00FF4E3C"/>
    <w:rsid w:val="00FF518B"/>
    <w:rsid w:val="00FF5330"/>
    <w:rsid w:val="00FF5511"/>
    <w:rsid w:val="00FF58E4"/>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F8A"/>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74A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5</Pages>
  <Words>2023</Words>
  <Characters>11534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 Marco</cp:lastModifiedBy>
  <cp:revision>56</cp:revision>
  <dcterms:created xsi:type="dcterms:W3CDTF">2023-02-17T08:09:00Z</dcterms:created>
  <dcterms:modified xsi:type="dcterms:W3CDTF">2023-05-12T09:27:00Z</dcterms:modified>
</cp:coreProperties>
</file>